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Technology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technology industry team operates at the intersection of technological innovation and the law.  Our multi-disciplinary team helps technology companies, and other businesses that use technology, to accomplish their objectives efficiently, effectively and creatively.  The group includes lawyers from across the firm who are leaders in providing commercially-minded technology transactions, litigation, corporate, M&amp;A, finance, intellectual property, regulatory, outsourcing and government relations advice across a wide range of technology deals, cases and matters.</w:t>
      </w:r>
    </w:p>
    <w:p>
      <w:pPr>
        <w:pStyle w:val="Paragraph"/>
      </w:pPr>
      <w:r>
        <w:t xml:space="preserve">Located in the most vibrant technology and financial centers in the world, our global team serves established and emerging technology clients across many industries, including life sciences and healthcare, B2B, B2C and B2G e-commerce, semiconductors, energy, internet infrastructure, telecommunications, financial services, insurance, media and entertainment, real estate, government services, aerospace and defense.</w:t>
      </w:r>
    </w:p>
    <w:p>
      <w:pPr>
        <w:pStyle w:val="Paragraph"/>
      </w:pPr>
      <w:r>
        <w:t xml:space="preserve">We are at the forefront of advising on emerging and fast-growing new fields of technology, including cloud, cybersecurity, autonomous and connected vehicles, personalized medicine, artificial intelligence, machine learning, cloud infrastructure and blockchain. Our team includes lawyers with substantial real-world experience in industry, and many have advanced degrees in science and engineering.  Together, they provide unmatched capability to handle the toughest and most sophisticated challenges.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Darren G. Gardner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Stephen E. Baskin (Steve)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Knox</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Fintech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Transportation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Leading International Law Firm - FinTech - United Arab Emirates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MANTECH, a Carlyle portfolio company, Acquires Elder Research</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2025-12-09</w:t>
      </w:r>
    </w:p>
    <w:p w14:paraId="636140DC" w14:textId="77777777" w:rsidR="001C65B2" w:rsidRDefault="001C65B2" w:rsidP="001C65B2">
      <w:pPr>
        <w:pStyle w:val="H3"/>
        <w:spacing w:before="0"/>
        <w:rPr>
          <w:caps w:val="0"/>
          <w:noProof w:val="0"/>
          <w:color w:val="483733" w:themeColor="text2"/>
        </w:rPr>
      </w:pPr>
      <w:r>
        <w:rPr>
          <w:caps w:val="0"/>
          <w:color w:val="483733" w:themeColor="text2"/>
        </w:rPr>
        <w:t>Argo Infrastructure Increases Capital Commitment to Tierpoint</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French Sidetrade SA to Acquire German SHS Viveon AG</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OCC Issues Interpretive Letter Permitting Banks to Engage in Additional Crypto Activities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International Personal Data Transfers under Saudi Arabia’s Data Protection Law</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Dirk Lasater to Speak on Panel to Association of Corporate Counsel National Membership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2025-12-02</w:t>
      </w:r>
    </w:p>
    <w:p w14:paraId="4BD15F45" w14:textId="77777777" w:rsidR="009816A0" w:rsidRDefault="009816A0" w:rsidP="009816A0">
      <w:pPr>
        <w:pStyle w:val="H3"/>
        <w:spacing w:before="0"/>
        <w:rPr>
          <w:caps w:val="0"/>
          <w:noProof w:val="0"/>
          <w:color w:val="483733" w:themeColor="text2"/>
        </w:rPr>
      </w:pPr>
      <w:r>
        <w:rPr>
          <w:caps w:val="0"/>
          <w:color w:val="483733" w:themeColor="text2"/>
        </w:rPr>
        <w:t>Dan Kahan to Speak on a Strafford webinar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2025-10-19</w:t>
      </w:r>
    </w:p>
    <w:p w14:paraId="4BD15F45" w14:textId="77777777" w:rsidR="009816A0" w:rsidRDefault="009816A0" w:rsidP="009816A0">
      <w:pPr>
        <w:pStyle w:val="H3"/>
        <w:spacing w:before="0"/>
        <w:rPr>
          <w:caps w:val="0"/>
          <w:noProof w:val="0"/>
          <w:color w:val="483733" w:themeColor="text2"/>
        </w:rPr>
      </w:pPr>
      <w:r>
        <w:rPr>
          <w:caps w:val="0"/>
          <w:color w:val="483733" w:themeColor="text2"/>
        </w:rPr>
        <w:t>Robert Hudock and Dirk Lasater to Speak at Association of Corporate Counsel Annual Meeting</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Skillz Platform before a New York federal court, which secured a summary judgment in a false advertising dispute against Papaya Gaming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The American Lawyer interviews Attorney of the Year Neel Chatterjee, who discusses his work forming Law Firm Partners United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2025-11-20</w:t>
      </w:r>
    </w:p>
    <w:p w14:paraId="5700260F" w14:textId="77777777" w:rsidR="00F21DCE" w:rsidRDefault="00F21DCE" w:rsidP="00F21DCE">
      <w:pPr>
        <w:pStyle w:val="H3"/>
        <w:spacing w:before="0"/>
        <w:rPr>
          <w:caps w:val="0"/>
          <w:noProof w:val="0"/>
          <w:color w:val="483733" w:themeColor="text2"/>
        </w:rPr>
      </w:pPr>
      <w:r>
        <w:rPr>
          <w:caps w:val="0"/>
          <w:color w:val="483733" w:themeColor="text2"/>
        </w:rPr>
        <w:t>Joe Akrotirianakis counsels NSO Group before a San Francisco federal court in a dispute with Salvadoran investigative journalists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8" TargetMode="External" Id="rId13"/><Relationship Type="http://schemas.openxmlformats.org/officeDocument/2006/relationships/hyperlink" Target="https://www.kslaw.com/news-and-insights?capability_id=118&amp;post_category_id=1&amp;post_type=0" TargetMode="External" Id="rId14"/><Relationship Type="http://schemas.openxmlformats.org/officeDocument/2006/relationships/hyperlink" Target="https://www.kslaw.com/news-and-insights?capability_id=118&amp;post_type=2" TargetMode="External" Id="rId15"/><Relationship Type="http://schemas.openxmlformats.org/officeDocument/2006/relationships/hyperlink" Target="https://www.kslaw.com/news-and-insights?capability_id=118&amp;post_type=1" TargetMode="External" Id="rId16"/><Relationship Type="http://schemas.openxmlformats.org/officeDocument/2006/relationships/hyperlink" Target="https://www.kslaw.com/news-and-insights?capability_id=118&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