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Technology Transactions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dedicated Technology Transactions team has market-leading experience in structuring, drafting, negotiating and advising on commercial transactions involving technology, intellectual property rights and data. Technology transactions matters present unique and complex legal and commercial issues, and our expertise and experience allow us to provide critical legal and business guidance as our clients look to exploit their intellectual property and technology assets in their business and strategic relationships, regardless of industry, size or geographical location.</w:t>
      </w:r>
    </w:p>
    <w:p>
      <w:pPr>
        <w:pStyle w:val="Paragraph"/>
      </w:pPr>
      <w:r>
        <w:t xml:space="preserve">The central focus of our practice is helping our clients plan, negotiate and complete technology and other commercial transactions. We serve clients across multiple offices, domestically and internationally, and leverage our presence in key commercial centers in the United States, Europe, the Middle East and Asia to help clients successfully navigate the most complex cross-border deals.</w:t>
      </w:r>
    </w:p>
    <w:p>
      <w:pPr>
        <w:pStyle w:val="Paragraph"/>
      </w:pPr>
      <w:r>
        <w:t xml:space="preserve">Clients rely on our expertise in a wide variety of commercial transactions, including the following:</w:t>
      </w:r>
    </w:p>
    <w:p>
      <w:pPr>
        <w:pStyle w:val="ListBullet"/>
        <w:numPr>
          <w:ilvl w:val="0"/>
          <w:numId w:val="21"/>
        </w:numPr>
      </w:pPr>
      <w:r>
        <w:t xml:space="preserve">•  conceptualizing and strategizing commercialization and licensing strategies for intellectual property and technology assets;</w:t>
      </w:r>
    </w:p>
    <w:p>
      <w:pPr>
        <w:pStyle w:val="ListBullet"/>
        <w:numPr>
          <w:ilvl w:val="0"/>
          <w:numId w:val="21"/>
        </w:numPr>
      </w:pPr>
      <w:r>
        <w:t xml:space="preserve">•  drafting and negotiating license agreements, marketing and brand extension agreements, software- and platform-as-a-service agreements, and e-commerce and Internet agreements covering the entirety of a business’s online activity;</w:t>
      </w:r>
    </w:p>
    <w:p>
      <w:pPr>
        <w:pStyle w:val="ListBullet"/>
        <w:numPr>
          <w:ilvl w:val="0"/>
          <w:numId w:val="21"/>
        </w:numPr>
      </w:pPr>
      <w:r>
        <w:t xml:space="preserve">•  counseling and assisting in the process of acquiring and implementing information systems, infrastructure as a service, and other IT business processes;</w:t>
      </w:r>
    </w:p>
    <w:p>
      <w:pPr>
        <w:pStyle w:val="ListBullet"/>
        <w:numPr>
          <w:ilvl w:val="0"/>
          <w:numId w:val="21"/>
        </w:numPr>
      </w:pPr>
      <w:r>
        <w:t xml:space="preserve">•  establishing business partner relationships and joint venture, joint development, engineering and procurement, OEM, value added reseller, and alliance arrangements;</w:t>
      </w:r>
    </w:p>
    <w:p>
      <w:pPr>
        <w:pStyle w:val="ListBullet"/>
        <w:numPr>
          <w:ilvl w:val="0"/>
          <w:numId w:val="21"/>
        </w:numPr>
      </w:pPr>
      <w:r>
        <w:t xml:space="preserve">•  advising on commercial and technology agreements and service issues related to conducting business online; and</w:t>
      </w:r>
    </w:p>
    <w:p>
      <w:pPr>
        <w:pStyle w:val="ListBullet"/>
        <w:numPr>
          <w:ilvl w:val="0"/>
          <w:numId w:val="21"/>
        </w:numPr>
      </w:pPr>
      <w:r>
        <w:t xml:space="preserve">•  providing support for mergers and acquisitions and financing transactions, which frequently involve significant intellectual property and technology-related issues.</w:t>
      </w:r>
    </w:p>
    <w:p>
      <w:pPr>
        <w:pStyle w:val="Paragraph"/>
      </w:pPr>
      <w:r>
        <w:t xml:space="preserve">We are equally adept at representing startups and large multinational corporations, as well as the investors and other entities that make up the innovation ecosystem, regardless of industry, size or geographical location. We share the entrepreneurial spirt of our clients and take pride in our ability to develop innovative solutions for developing, protecting and commercializing technology and intellectual property assets.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Thomas J. Knox</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Northern Virginia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Amy Levin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Eve-Christie Vermynck</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Damien Bailey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Sydney</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Dassault acquires key assets from ASCon Systems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2023-08-08</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Barings on Financing Commitment Supporting the Recommended Offer for Blancco Technology Group plc</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2025-12-11</w:t>
      </w:r>
    </w:p>
    <w:p w14:paraId="38DC0FB2" w14:textId="77777777" w:rsidR="0046190E" w:rsidRDefault="0046190E" w:rsidP="0046190E">
      <w:pPr>
        <w:pStyle w:val="H3"/>
        <w:spacing w:before="0"/>
        <w:rPr>
          <w:caps w:val="0"/>
          <w:noProof w:val="0"/>
          <w:color w:val="483733" w:themeColor="text2"/>
        </w:rPr>
      </w:pPr>
      <w:r>
        <w:rPr>
          <w:caps w:val="0"/>
          <w:color w:val="483733" w:themeColor="text2"/>
        </w:rPr>
        <w:t>EU &amp; UK AI Round-up - December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2025-11-17</w:t>
      </w:r>
    </w:p>
    <w:p w14:paraId="38DC0FB2" w14:textId="77777777" w:rsidR="0046190E" w:rsidRDefault="0046190E" w:rsidP="0046190E">
      <w:pPr>
        <w:pStyle w:val="H3"/>
        <w:spacing w:before="0"/>
        <w:rPr>
          <w:caps w:val="0"/>
          <w:noProof w:val="0"/>
          <w:color w:val="483733" w:themeColor="text2"/>
        </w:rPr>
      </w:pPr>
      <w:r>
        <w:rPr>
          <w:caps w:val="0"/>
          <w:color w:val="483733" w:themeColor="text2"/>
        </w:rPr>
        <w:t>International Personal Data Transfers under Saudi Arabia’s Data Protection Law</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2025-09-30</w:t>
      </w:r>
    </w:p>
    <w:p w14:paraId="38DC0FB2" w14:textId="77777777" w:rsidR="0046190E" w:rsidRDefault="0046190E" w:rsidP="0046190E">
      <w:pPr>
        <w:pStyle w:val="H3"/>
        <w:spacing w:before="0"/>
        <w:rPr>
          <w:caps w:val="0"/>
          <w:noProof w:val="0"/>
          <w:color w:val="483733" w:themeColor="text2"/>
        </w:rPr>
      </w:pPr>
      <w:r>
        <w:rPr>
          <w:caps w:val="0"/>
          <w:color w:val="483733" w:themeColor="text2"/>
        </w:rPr>
        <w:t>ADGM FSRA implements amendments to its Digital Asset Regulatory Framework</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2025-12-08</w:t>
      </w:r>
    </w:p>
    <w:p w14:paraId="4BD15F45" w14:textId="77777777" w:rsidR="009816A0" w:rsidRDefault="009816A0" w:rsidP="009816A0">
      <w:pPr>
        <w:pStyle w:val="H3"/>
        <w:spacing w:before="0"/>
        <w:rPr>
          <w:caps w:val="0"/>
          <w:noProof w:val="0"/>
          <w:color w:val="483733" w:themeColor="text2"/>
        </w:rPr>
      </w:pPr>
      <w:r>
        <w:rPr>
          <w:caps w:val="0"/>
          <w:color w:val="483733" w:themeColor="text2"/>
        </w:rPr>
        <w:t>Dirk Lasater to Speak on Panel to Association of Corporate Counsel National Membership</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2025-10-30</w:t>
      </w:r>
    </w:p>
    <w:p w14:paraId="4BD15F45" w14:textId="77777777" w:rsidR="009816A0" w:rsidRDefault="009816A0" w:rsidP="009816A0">
      <w:pPr>
        <w:pStyle w:val="H3"/>
        <w:spacing w:before="0"/>
        <w:rPr>
          <w:caps w:val="0"/>
          <w:noProof w:val="0"/>
          <w:color w:val="483733" w:themeColor="text2"/>
        </w:rPr>
      </w:pPr>
      <w:r>
        <w:rPr>
          <w:caps w:val="0"/>
          <w:color w:val="483733" w:themeColor="text2"/>
        </w:rPr>
        <w:t>Axel Schilder to Speak at ITS – Infrastructure Tax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2024-12-04</w:t>
      </w:r>
    </w:p>
    <w:p w14:paraId="4BD15F45" w14:textId="77777777" w:rsidR="009816A0" w:rsidRDefault="009816A0" w:rsidP="009816A0">
      <w:pPr>
        <w:pStyle w:val="H3"/>
        <w:spacing w:before="0"/>
        <w:rPr>
          <w:caps w:val="0"/>
          <w:noProof w:val="0"/>
          <w:color w:val="483733" w:themeColor="text2"/>
        </w:rPr>
      </w:pPr>
      <w:r>
        <w:rPr>
          <w:caps w:val="0"/>
          <w:color w:val="483733" w:themeColor="text2"/>
        </w:rPr>
        <w:t>Brent Gilfedder to Speak at Reuters Energy LIVE 2024</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2025-04-07</w:t>
      </w:r>
    </w:p>
    <w:p w14:paraId="5700260F" w14:textId="77777777" w:rsidR="00F21DCE" w:rsidRDefault="00F21DCE" w:rsidP="00F21DCE">
      <w:pPr>
        <w:pStyle w:val="H3"/>
        <w:spacing w:before="0"/>
        <w:rPr>
          <w:caps w:val="0"/>
          <w:noProof w:val="0"/>
          <w:color w:val="483733" w:themeColor="text2"/>
        </w:rPr>
      </w:pPr>
      <w:r>
        <w:rPr>
          <w:caps w:val="0"/>
          <w:color w:val="483733" w:themeColor="text2"/>
        </w:rPr>
        <w:t>Data, privacy and security partner Charly Helleputte joins the firm’s Government Matters and Regulation practice group in Brussels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2025-04-07</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Welcomes Data, Privacy and Security Partner Charles-Albert (Charly) Helleputte in Brussels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2025-03-26</w:t>
      </w:r>
    </w:p>
    <w:p w14:paraId="5700260F" w14:textId="77777777" w:rsidR="00F21DCE" w:rsidRDefault="00F21DCE" w:rsidP="00F21DCE">
      <w:pPr>
        <w:pStyle w:val="H3"/>
        <w:spacing w:before="0"/>
        <w:rPr>
          <w:caps w:val="0"/>
          <w:noProof w:val="0"/>
          <w:color w:val="483733" w:themeColor="text2"/>
        </w:rPr>
      </w:pPr>
      <w:r>
        <w:rPr>
          <w:caps w:val="0"/>
          <w:color w:val="483733" w:themeColor="text2"/>
        </w:rPr>
        <w:t>Kevin Manz, Tim FitzSimons, Meredith O'Leary, John Sweet, Scott Petty, Jerome Hughes and Nick Mattone counsel HCM II Acquisition Corp. on its $925M SPAC merger with Terrestrial Energy</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15" TargetMode="External" Id="rId13"/><Relationship Type="http://schemas.openxmlformats.org/officeDocument/2006/relationships/hyperlink" Target="https://www.kslaw.com/news-and-insights?capability_id=115&amp;post_category_id=1&amp;post_type=0" TargetMode="External" Id="rId14"/><Relationship Type="http://schemas.openxmlformats.org/officeDocument/2006/relationships/hyperlink" Target="https://www.kslaw.com/news-and-insights?capability_id=115&amp;post_type=2" TargetMode="External" Id="rId15"/><Relationship Type="http://schemas.openxmlformats.org/officeDocument/2006/relationships/hyperlink" Target="https://www.kslaw.com/news-and-insights?capability_id=115&amp;post_type=1" TargetMode="External" Id="rId16"/><Relationship Type="http://schemas.openxmlformats.org/officeDocument/2006/relationships/hyperlink" Target="https://www.kslaw.com/news-and-insights?capability_id=115&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