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3E60" w14:textId="0EC731CB" w:rsidR="00112F46" w:rsidRDefault="00112F46" w:rsidP="003E5F64">
      <w:pPr>
        <w:pStyle w:val="Rule"/>
        <w:spacing w:before="200" w:after="120"/>
        <w:rPr>
          <w:noProof/>
          <w:sz w:val="48"/>
          <w14:ligatures w14:val="standard"/>
        </w:rPr>
      </w:pPr>
      <w:r>
        <w:rPr>
          <w:noProof/>
          <w:sz w:val="48"/>
          <w14:ligatures w14:val="standard"/>
        </w:rPr>
        <w:t>Structured Finance and Securitization</w:t>
      </w:r>
    </w:p>
    <w:p w14:paraId="565518C3" w14:textId="3CF573BA" w:rsidR="002C2FC6" w:rsidRPr="00425048" w:rsidRDefault="009C2AFD" w:rsidP="00405EC9">
      <w:pPr>
        <w:pStyle w:val="Rule"/>
        <w:spacing w:after="400"/>
      </w:pPr>
      <w:r w:rsidRPr="00425048">
        <w:rPr>
          <w:noProof/>
        </w:rPr>
        <mc:AlternateContent>
          <mc:Choice Requires="wps">
            <w:drawing>
              <wp:inline distT="0" distB="0" distL="0" distR="0" wp14:anchorId="2960B98C" wp14:editId="62798BFA">
                <wp:extent cx="457200" cy="27432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B6DEF1" id="Rectangle 8" o:spid="_x0000_s1026" style="width:36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" fillcolor="#f96800 [3204]" stroked="f" strokeweight="1pt">
                <w10:anchorlock/>
              </v:rect>
            </w:pict>
          </mc:Fallback>
        </mc:AlternateContent>
      </w:r>
    </w:p>
    <w:p>
      <w:pPr>
        <w:pStyle w:val="Paragraph"/>
      </w:pPr>
      <w:r>
        <w:t xml:space="preserve">King &amp; Spalding’s Structured Finance and Securitization practice unites the talents of lawyers across the firm in matching business-focused structures with capital.</w:t>
      </w:r>
    </w:p>
    <w:p>
      <w:pPr>
        <w:pStyle w:val="Paragraph"/>
      </w:pPr>
      <w:r>
        <w:t xml:space="preserve">Our nationally-recognized structured finance and securitization practice acts on a variety of complex securitization transactions, particularly esoteric securitizations, including in the whole business, media royalty and digital infrastructure spaces – these comprise some of the most significant 144A, 4(a)(2) and leveraged finance deals in the market.  We have also worked on the securitizations of numerous first-time or emerging asset classes, receivables financings and mortgage and related asset repurchase transactions.</w:t>
      </w:r>
    </w:p>
    <w:p>
      <w:pPr>
        <w:pStyle w:val="Paragraph"/>
      </w:pPr>
      <w:r>
        <w:rPr>
          <w:b/>
        </w:rPr>
        <w:t xml:space="preserve">Extensive Experience</w:t>
      </w:r>
    </w:p>
    <w:p>
      <w:pPr>
        <w:pStyle w:val="ListBullet"/>
        <w:numPr>
          <w:ilvl w:val="0"/>
          <w:numId w:val="21"/>
        </w:numPr>
      </w:pPr>
      <w:r>
        <w:t xml:space="preserve">•  Digital Infrastructure securitizations, including fiber, data center, tower, and telecommunications</w:t>
      </w:r>
    </w:p>
    <w:p>
      <w:pPr>
        <w:pStyle w:val="ListBullet"/>
        <w:numPr>
          <w:ilvl w:val="0"/>
          <w:numId w:val="21"/>
        </w:numPr>
      </w:pPr>
      <w:r>
        <w:t xml:space="preserve">•  Whole business securitizations</w:t>
      </w:r>
    </w:p>
    <w:p>
      <w:pPr>
        <w:pStyle w:val="ListBullet"/>
        <w:numPr>
          <w:ilvl w:val="0"/>
          <w:numId w:val="21"/>
        </w:numPr>
      </w:pPr>
      <w:r>
        <w:t xml:space="preserve">•  Media royalty securitizations</w:t>
      </w:r>
    </w:p>
    <w:p>
      <w:pPr>
        <w:pStyle w:val="ListBullet"/>
        <w:numPr>
          <w:ilvl w:val="0"/>
          <w:numId w:val="21"/>
        </w:numPr>
      </w:pPr>
      <w:r>
        <w:t xml:space="preserve">•  New and emerging asset class securitizations</w:t>
      </w:r>
    </w:p>
    <w:p>
      <w:pPr>
        <w:pStyle w:val="ListBullet"/>
        <w:numPr>
          <w:ilvl w:val="0"/>
          <w:numId w:val="21"/>
        </w:numPr>
      </w:pPr>
      <w:r>
        <w:t xml:space="preserve">•  Bankruptcy safe harbored financing transactions and structures</w:t>
      </w:r>
    </w:p>
    <w:p>
      <w:pPr>
        <w:pStyle w:val="ListBullet"/>
        <w:numPr>
          <w:ilvl w:val="0"/>
          <w:numId w:val="21"/>
        </w:numPr>
      </w:pPr>
      <w:r>
        <w:t xml:space="preserve">•  Trade receivables and supply chain financings and securitizations</w:t>
      </w:r>
    </w:p>
    <w:p>
      <w:pPr>
        <w:pStyle w:val="ListBullet"/>
        <w:numPr>
          <w:ilvl w:val="0"/>
          <w:numId w:val="21"/>
        </w:numPr>
      </w:pPr>
      <w:r>
        <w:t xml:space="preserve">•  Aircraft, rail, marine and over-the-road leases and financings</w:t>
      </w:r>
    </w:p>
    <w:p>
      <w:pPr>
        <w:pStyle w:val="ListBullet"/>
        <w:numPr>
          <w:ilvl w:val="0"/>
          <w:numId w:val="21"/>
        </w:numPr>
      </w:pPr>
      <w:r>
        <w:t xml:space="preserve">•  Hybrid and other loan asset-based securitizations</w:t>
      </w:r>
    </w:p>
    <w:p>
      <w:pPr>
        <w:pStyle w:val="ListBullet"/>
        <w:numPr>
          <w:ilvl w:val="0"/>
          <w:numId w:val="21"/>
        </w:numPr>
      </w:pPr>
      <w:r>
        <w:t xml:space="preserve">•  Asset-based loans and asset-backed securities, including the securitization of credit card receivables</w:t>
      </w:r>
    </w:p>
    <w:p>
      <w:pPr>
        <w:pStyle w:val="ListBullet"/>
        <w:numPr>
          <w:ilvl w:val="0"/>
          <w:numId w:val="21"/>
        </w:numPr>
      </w:pPr>
      <w:r>
        <w:t xml:space="preserve">•  Industry-specific specialty financings and securitizations</w:t>
      </w:r>
    </w:p>
    <w:p>
      <w:pPr>
        <w:pStyle w:val="ListBullet"/>
        <w:numPr>
          <w:ilvl w:val="0"/>
          <w:numId w:val="21"/>
        </w:numPr>
      </w:pPr>
      <w:r>
        <w:t xml:space="preserve">•  Real estate lending, including home improvement and timeshare</w:t>
      </w:r>
    </w:p>
    <w:p w14:paraId="5432C225" w14:textId="5D910043" w:rsidR="00863750" w:rsidRDefault="003E5F64" w:rsidP="00FA13DB">
      <w:pPr>
        <w:pStyle w:val="H2"/>
        <w:spacing w:before="20" w:after="20"/>
      </w:pPr>
      <w:r>
        <w:softHyphen/>
      </w:r>
    </w:p>
    <w:p w14:paraId="7EE41E4F" w14:textId="77777777" w:rsidR="00863750" w:rsidRDefault="00863750" w:rsidP="00904235">
      <w:pPr>
        <w:pStyle w:val="H2"/>
        <w:spacing w:before="20" w:after="20"/>
      </w:pPr>
    </w:p>
    <w:p w14:paraId="24951DFB" w14:textId="00654985" w:rsidR="00E01176" w:rsidRPr="00E01176" w:rsidRDefault="00494B57" w:rsidP="006D1037">
      <w:pPr>
        <w:pStyle w:val="H2"/>
        <w:spacing w:before="20" w:after="360"/>
      </w:pPr>
      <w:r>
        <w:t>Capability</w:t>
      </w:r>
      <w:r w:rsidR="00E01176" w:rsidRPr="00E01176">
        <w:t xml:space="preserve"> Lawyers</w:t>
      </w: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Jonathan Arkins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Miami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Katy Berger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Martin Y. Eid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Jeffrey Misher (Jeff)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David L. Ridenour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Dallas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Kathryn Weiss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8CB10D5" w14:textId="2C684923" w:rsidR="008D7FB4" w:rsidRPr="00AD0AB9" w:rsidRDefault="00D62D6B" w:rsidP="00E46583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5362EB" wp14:editId="3C5836BA">
                <wp:simplePos x="0" y="0"/>
                <wp:positionH relativeFrom="column">
                  <wp:posOffset>31750</wp:posOffset>
                </wp:positionH>
                <wp:positionV relativeFrom="paragraph">
                  <wp:posOffset>272415</wp:posOffset>
                </wp:positionV>
                <wp:extent cx="594360" cy="2540"/>
                <wp:effectExtent l="12700" t="12700" r="15240" b="228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DA859" id="Straight Connector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1.45pt" to="49.3pt,2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7qjL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hVnDiyN6JAC&#13;&#10;6GOf2A6dIwMxsF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r w:rsidR="00E46583" w:rsidRPr="00AD0AB9">
        <w:rPr>
          <w:rFonts w:cs="Times New Roman (Body CS)"/>
          <w:noProof/>
          <w:color w:val="F96800" w:themeColor="accent1"/>
          <w:sz w:val="20"/>
          <w:szCs w:val="20"/>
        </w:rPr>
        <w:t xml:space="preserve"> </w:t>
      </w:r>
      <w:hyperlink r:id="rId13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71693BA3" w14:textId="4C74D797" w:rsidR="00E46583" w:rsidRDefault="00E46583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6813F32" w14:textId="1762390F" w:rsidR="00384701" w:rsidRDefault="00384701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05BD0E9" w14:textId="4D6A4187" w:rsidR="004A4516" w:rsidRPr="00E01176" w:rsidRDefault="00E01176" w:rsidP="00E33AEB">
      <w:pPr>
        <w:pStyle w:val="H2"/>
        <w:spacing w:before="240" w:after="300" w:line="240" w:lineRule="exact"/>
      </w:pPr>
      <w:r w:rsidRPr="00E01176">
        <w:t>Recognition</w:t>
      </w: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Securitization ABS &amp; Whole Business (USA), Capital Markets (Saudi Arabia) and Islamic Finance (Middle East-Wide &amp; Global Multi-Jurisdictional)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Global, 2025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Ranked in Banking and Finance: Lenders: Mid-Market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UK, 2025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Recognized in six countries for Banking, Restructuring &amp; Insolvency and Capital Markets, including in the U.S., U.K., UAE, Singapore, Saudi Arabia and Germany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IFLR 1000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0CF5299C" w14:textId="77777777" w:rsidR="00E01176" w:rsidRPr="00E01176" w:rsidRDefault="00E01176" w:rsidP="00093FA0">
      <w:pPr>
        <w:pStyle w:val="H2"/>
        <w:spacing w:before="240"/>
      </w:pPr>
      <w:r w:rsidRPr="00E01176">
        <w:t>Cases &amp; Deals</w:t>
      </w: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2025-11-06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Morgan Stanley Acquires $1 Billion Student Housing Portfolio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2025-10-03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European-headquartered Global Investment Bank and a U.S. Based Global Commercial and Investment Bank Completes Upsize of Secured Billboard Variable Funding Notes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2025-09-30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U.S. Based Global Commercial and Financial Bank and European-Headquartered Global Investment Bank Complete the Sale and Purchase of Secured Media Asset-Backed Notes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796A122F" w14:textId="06CD58E6" w:rsidR="00FE62DB" w:rsidRPr="00907A96" w:rsidRDefault="00D62D6B" w:rsidP="003A30E8">
      <w:pPr>
        <w:pStyle w:val="LawyerCity"/>
        <w:spacing w:before="100" w:beforeAutospacing="1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B2B020" wp14:editId="4AF01B72">
                <wp:simplePos x="0" y="0"/>
                <wp:positionH relativeFrom="column">
                  <wp:posOffset>2540</wp:posOffset>
                </wp:positionH>
                <wp:positionV relativeFrom="paragraph">
                  <wp:posOffset>270510</wp:posOffset>
                </wp:positionV>
                <wp:extent cx="594360" cy="2540"/>
                <wp:effectExtent l="12700" t="12700" r="15240" b="228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ED779" id="Straight Connector 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.3pt" to="47pt,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4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FE62DB" w:rsidRPr="00907A96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3DA54A6" w14:textId="77777777" w:rsidR="00E01176" w:rsidRPr="00E01176" w:rsidRDefault="00E01176" w:rsidP="00777C77">
      <w:pPr>
        <w:pStyle w:val="H2"/>
      </w:pPr>
      <w:r w:rsidRPr="00E01176">
        <w:t>Insights</w:t>
      </w: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2025-12-03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Deemed Fulfilment Dethroned: UK Supreme Court Gives Important Decision on Conditions Precedent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2025-12-03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Deemed Fulfilment Dethroned: UK Supreme Court Gives Important Decision on Conditions Precedent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2025-10-22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Evergreen CITs: A Scalable Solution for Alternative Assets in 401(k) Plans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685C2BB6" w14:textId="521F4753" w:rsidR="007922E2" w:rsidRPr="00C46749" w:rsidRDefault="00D62D6B" w:rsidP="007922E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DE860A" wp14:editId="4A7DF8FC">
                <wp:simplePos x="0" y="0"/>
                <wp:positionH relativeFrom="column">
                  <wp:posOffset>6350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253E2" id="Straight Connector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20.95pt" to="47.3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5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7922E2" w:rsidRPr="00C46749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E11FD99" w14:textId="77777777" w:rsidR="00E01176" w:rsidRPr="00E01176" w:rsidRDefault="00E01176" w:rsidP="002844C0">
      <w:pPr>
        <w:pStyle w:val="H2"/>
      </w:pPr>
      <w:r w:rsidRPr="00E01176">
        <w:t>Events</w:t>
      </w: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2025-11-17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Jennifer Morgan to Speak at the Commercial Observer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2025-10-22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Dan Marcus to Speak at AFME's European High Yield and Private Credit Conference 2025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2025-10-20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David Ridenour to speak at ABS East 2025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537353EB" w14:textId="2862D4CC" w:rsidR="00FE496D" w:rsidRDefault="00D62D6B" w:rsidP="009A32DD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0388D9" wp14:editId="72169099">
                <wp:simplePos x="0" y="0"/>
                <wp:positionH relativeFrom="column">
                  <wp:posOffset>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D0AC2" id="Straight Connector 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0.95pt" to="46.8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Sv2X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jVnDiyN6JAC&#13;&#10;6GOf2A6dIwMxsH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6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045FD757" w14:textId="77777777" w:rsidR="001D1504" w:rsidRPr="00455B38" w:rsidRDefault="001D1504" w:rsidP="00E856B9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25B6CBBA" w14:textId="437A5014" w:rsidR="00E01176" w:rsidRPr="00E01176" w:rsidRDefault="00E01176" w:rsidP="00C44949">
      <w:pPr>
        <w:pStyle w:val="H2"/>
        <w:spacing w:before="240"/>
      </w:pPr>
      <w:r w:rsidRPr="00E01176">
        <w:t>News</w:t>
      </w: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2025-07-23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K&amp;S counsels Cologix, which closed a $525M asset-backed securitization to support the company’s continued growth in digital infrastructure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2024-10-29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David Ridenour represents TD Bank and Cantor Fitzgerald in connection with Accelerate Infrastructure raising $780M in total capital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2024-10-28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David Ridenour, Kevin Gilroy, Alison Pearman, Yoojin Lee, Rosie Watterson, Jonathan Arkins and John Green counsel Cologix on its $1.5B fundraise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37011A0" w14:textId="2AD017F3" w:rsidR="00C60492" w:rsidRPr="00340CEC" w:rsidRDefault="00D62D6B" w:rsidP="00C6049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8278F" wp14:editId="563342B1">
                <wp:simplePos x="0" y="0"/>
                <wp:positionH relativeFrom="column">
                  <wp:posOffset>0</wp:posOffset>
                </wp:positionH>
                <wp:positionV relativeFrom="paragraph">
                  <wp:posOffset>253365</wp:posOffset>
                </wp:positionV>
                <wp:extent cx="594360" cy="2540"/>
                <wp:effectExtent l="12700" t="12700" r="15240" b="228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92795"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95pt" to="46.8pt,20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7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6DE4F8B9" w14:textId="385796D1" w:rsidR="00B13647" w:rsidRPr="00B13647" w:rsidRDefault="00B13647" w:rsidP="00F21DCE">
      <w:pPr>
        <w:pStyle w:val="Details"/>
        <w:rPr>
          <w:color w:val="F96800" w:themeColor="accent1"/>
          <w:sz w:val="20"/>
          <w:szCs w:val="20"/>
        </w:rPr>
      </w:pPr>
    </w:p>
    <w:sectPr w:rsidR="002604A6" w:rsidSect="00A9734E">
      <w:footerReference w:type="default" r:id="rId8"/>
      <w:headerReference w:type="first" r:id="rId9"/>
      <w:footerReference w:type="first" r:id="rId10"/>
      <w:pgSz w:w="12240" w:h="15840" w:code="1"/>
      <w:pgMar w:top="2074" w:right="1166" w:bottom="1440" w:left="116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A238" w14:textId="77777777" w:rsidR="00BD679C" w:rsidRDefault="00BD679C" w:rsidP="00A9734E">
      <w:pPr>
        <w:spacing w:after="0" w:line="240" w:lineRule="auto"/>
      </w:pPr>
      <w:r>
        <w:separator/>
      </w:r>
    </w:p>
  </w:endnote>
  <w:endnote w:type="continuationSeparator" w:id="0">
    <w:p w14:paraId="5D0E24E5" w14:textId="77777777" w:rsidR="00BD679C" w:rsidRDefault="00BD679C" w:rsidP="00A9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8C3D" w14:textId="77777777" w:rsidR="00B55CBD" w:rsidRPr="00B55CBD" w:rsidRDefault="00B55CBD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494B57">
      <w:rPr>
        <w:noProof/>
      </w:rPr>
      <w:t>2</w:t>
    </w:r>
    <w:r w:rsidRPr="00B55CB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A1F9" w14:textId="77777777" w:rsidR="00A9734E" w:rsidRPr="00B55CBD" w:rsidRDefault="00A9734E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7D695E">
      <w:rPr>
        <w:noProof/>
      </w:rPr>
      <w:t>1</w:t>
    </w:r>
    <w:r w:rsidRPr="00B55CB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29F8" w14:textId="77777777" w:rsidR="00BD679C" w:rsidRDefault="00BD679C" w:rsidP="00A9734E">
      <w:pPr>
        <w:spacing w:after="0" w:line="240" w:lineRule="auto"/>
      </w:pPr>
      <w:r>
        <w:separator/>
      </w:r>
    </w:p>
  </w:footnote>
  <w:footnote w:type="continuationSeparator" w:id="0">
    <w:p w14:paraId="180A5213" w14:textId="77777777" w:rsidR="00BD679C" w:rsidRDefault="00BD679C" w:rsidP="00A9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D3E9" w14:textId="7B2BE22E" w:rsidR="001B06FF" w:rsidRDefault="003E5F64">
    <w:pPr>
      <w:pStyle w:val="Header"/>
    </w:pPr>
    <w:r>
      <w:rPr>
        <w:noProof/>
      </w:rPr>
      <w:drawing>
        <wp:inline distT="0" distB="0" distL="0" distR="0" wp14:anchorId="4B80785B" wp14:editId="544B96FE">
          <wp:extent cx="1191669" cy="459926"/>
          <wp:effectExtent l="0" t="0" r="2540" b="0"/>
          <wp:docPr id="10" name="Picture 10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1669" cy="459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C18FF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0E82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F6821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92AD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A82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0EE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009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C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9CC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2C3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2919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E705C56"/>
    <w:multiLevelType w:val="hybridMultilevel"/>
    <w:tmpl w:val="78002D32"/>
    <w:lvl w:ilvl="0" w:tplc="75DAC0B6">
      <w:start w:val="1"/>
      <w:numFmt w:val="bullet"/>
      <w:pStyle w:val="Text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1669A"/>
    <w:multiLevelType w:val="hybridMultilevel"/>
    <w:tmpl w:val="CFA45D0A"/>
    <w:lvl w:ilvl="0" w:tplc="33A815B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890B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49646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A4D7A5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10005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A31ABC"/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479BC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78FE01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4"/>
  </w:num>
  <w:num w:numId="5">
    <w:abstractNumId w:val="19"/>
  </w:num>
  <w:num w:numId="6">
    <w:abstractNumId w:val="18"/>
  </w:num>
  <w:num w:numId="7">
    <w:abstractNumId w:val="17"/>
  </w:num>
  <w:num w:numId="8">
    <w:abstractNumId w:val="13"/>
  </w:num>
  <w:num w:numId="9">
    <w:abstractNumId w:val="15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764"/>
    <w:rsid w:val="00006203"/>
    <w:rsid w:val="000306D1"/>
    <w:rsid w:val="00030812"/>
    <w:rsid w:val="000505ED"/>
    <w:rsid w:val="00050685"/>
    <w:rsid w:val="00052F54"/>
    <w:rsid w:val="0007042B"/>
    <w:rsid w:val="00073E68"/>
    <w:rsid w:val="00081718"/>
    <w:rsid w:val="0008567A"/>
    <w:rsid w:val="00086F27"/>
    <w:rsid w:val="000916D3"/>
    <w:rsid w:val="00093FA0"/>
    <w:rsid w:val="000A3698"/>
    <w:rsid w:val="000B37DE"/>
    <w:rsid w:val="000B6C90"/>
    <w:rsid w:val="000B7045"/>
    <w:rsid w:val="000C338D"/>
    <w:rsid w:val="000D2758"/>
    <w:rsid w:val="000D556B"/>
    <w:rsid w:val="000D642F"/>
    <w:rsid w:val="0010255A"/>
    <w:rsid w:val="001065DC"/>
    <w:rsid w:val="001078D7"/>
    <w:rsid w:val="00112F46"/>
    <w:rsid w:val="00116D3F"/>
    <w:rsid w:val="0012061D"/>
    <w:rsid w:val="00145260"/>
    <w:rsid w:val="00150C66"/>
    <w:rsid w:val="00177B76"/>
    <w:rsid w:val="001851C6"/>
    <w:rsid w:val="001963CF"/>
    <w:rsid w:val="001B06FF"/>
    <w:rsid w:val="001B465D"/>
    <w:rsid w:val="001B5C17"/>
    <w:rsid w:val="001B6665"/>
    <w:rsid w:val="001C65B2"/>
    <w:rsid w:val="001D1504"/>
    <w:rsid w:val="001E289D"/>
    <w:rsid w:val="001E358B"/>
    <w:rsid w:val="00201116"/>
    <w:rsid w:val="00203AB2"/>
    <w:rsid w:val="00207B50"/>
    <w:rsid w:val="00210DB0"/>
    <w:rsid w:val="002163E4"/>
    <w:rsid w:val="002248C6"/>
    <w:rsid w:val="002254CD"/>
    <w:rsid w:val="0025705F"/>
    <w:rsid w:val="0026019C"/>
    <w:rsid w:val="002604A6"/>
    <w:rsid w:val="00260525"/>
    <w:rsid w:val="00272C94"/>
    <w:rsid w:val="00275180"/>
    <w:rsid w:val="00276E21"/>
    <w:rsid w:val="002844C0"/>
    <w:rsid w:val="00284E0A"/>
    <w:rsid w:val="002858BF"/>
    <w:rsid w:val="002937D0"/>
    <w:rsid w:val="002A70DE"/>
    <w:rsid w:val="002A7419"/>
    <w:rsid w:val="002A7AF6"/>
    <w:rsid w:val="002C2FC6"/>
    <w:rsid w:val="002C35DB"/>
    <w:rsid w:val="002C740F"/>
    <w:rsid w:val="002D778C"/>
    <w:rsid w:val="002E4568"/>
    <w:rsid w:val="00306A14"/>
    <w:rsid w:val="00340CEC"/>
    <w:rsid w:val="00360D48"/>
    <w:rsid w:val="0036265B"/>
    <w:rsid w:val="00365F39"/>
    <w:rsid w:val="00374FA8"/>
    <w:rsid w:val="00375183"/>
    <w:rsid w:val="00384701"/>
    <w:rsid w:val="0038699B"/>
    <w:rsid w:val="003A30E8"/>
    <w:rsid w:val="003A318F"/>
    <w:rsid w:val="003C0521"/>
    <w:rsid w:val="003E3A5A"/>
    <w:rsid w:val="003E5F64"/>
    <w:rsid w:val="003F0E28"/>
    <w:rsid w:val="003F3764"/>
    <w:rsid w:val="003F6961"/>
    <w:rsid w:val="00405EC9"/>
    <w:rsid w:val="00407FE5"/>
    <w:rsid w:val="004216AE"/>
    <w:rsid w:val="004249A6"/>
    <w:rsid w:val="00425048"/>
    <w:rsid w:val="00426D3A"/>
    <w:rsid w:val="00442816"/>
    <w:rsid w:val="00452C4F"/>
    <w:rsid w:val="00457B89"/>
    <w:rsid w:val="0046190E"/>
    <w:rsid w:val="004812D5"/>
    <w:rsid w:val="00484BEC"/>
    <w:rsid w:val="00490C58"/>
    <w:rsid w:val="00494B57"/>
    <w:rsid w:val="004A4516"/>
    <w:rsid w:val="004A47D0"/>
    <w:rsid w:val="004C036F"/>
    <w:rsid w:val="004D1579"/>
    <w:rsid w:val="004E083F"/>
    <w:rsid w:val="004E48A0"/>
    <w:rsid w:val="004F5EC3"/>
    <w:rsid w:val="00503DEF"/>
    <w:rsid w:val="00504DEC"/>
    <w:rsid w:val="00515EDA"/>
    <w:rsid w:val="0052257A"/>
    <w:rsid w:val="00523579"/>
    <w:rsid w:val="00530DCD"/>
    <w:rsid w:val="00534055"/>
    <w:rsid w:val="00543ECC"/>
    <w:rsid w:val="00543EE0"/>
    <w:rsid w:val="00570512"/>
    <w:rsid w:val="00584F1A"/>
    <w:rsid w:val="00586DBD"/>
    <w:rsid w:val="00592F2A"/>
    <w:rsid w:val="00594064"/>
    <w:rsid w:val="005A487E"/>
    <w:rsid w:val="005B0A2B"/>
    <w:rsid w:val="005D2288"/>
    <w:rsid w:val="00601277"/>
    <w:rsid w:val="00605484"/>
    <w:rsid w:val="00605E6A"/>
    <w:rsid w:val="00606166"/>
    <w:rsid w:val="0061110E"/>
    <w:rsid w:val="00613D6B"/>
    <w:rsid w:val="00617F3A"/>
    <w:rsid w:val="00631471"/>
    <w:rsid w:val="006365A5"/>
    <w:rsid w:val="00641A5E"/>
    <w:rsid w:val="00654564"/>
    <w:rsid w:val="0066312E"/>
    <w:rsid w:val="00665003"/>
    <w:rsid w:val="0067003D"/>
    <w:rsid w:val="0069187F"/>
    <w:rsid w:val="006A1C83"/>
    <w:rsid w:val="006A7E5A"/>
    <w:rsid w:val="006B7E4C"/>
    <w:rsid w:val="006C5CA8"/>
    <w:rsid w:val="006D1037"/>
    <w:rsid w:val="006D1431"/>
    <w:rsid w:val="006D470B"/>
    <w:rsid w:val="006D7FA1"/>
    <w:rsid w:val="006E5AC1"/>
    <w:rsid w:val="006F019C"/>
    <w:rsid w:val="006F1D72"/>
    <w:rsid w:val="00712FB2"/>
    <w:rsid w:val="00720F6A"/>
    <w:rsid w:val="00747B48"/>
    <w:rsid w:val="007509A8"/>
    <w:rsid w:val="00751D60"/>
    <w:rsid w:val="00757106"/>
    <w:rsid w:val="00761138"/>
    <w:rsid w:val="007633A3"/>
    <w:rsid w:val="00765727"/>
    <w:rsid w:val="00777C77"/>
    <w:rsid w:val="007922E2"/>
    <w:rsid w:val="007B101C"/>
    <w:rsid w:val="007B4AB3"/>
    <w:rsid w:val="007B52F5"/>
    <w:rsid w:val="007C327F"/>
    <w:rsid w:val="007C35FD"/>
    <w:rsid w:val="007D695E"/>
    <w:rsid w:val="007E3DE1"/>
    <w:rsid w:val="007E7C75"/>
    <w:rsid w:val="007F314D"/>
    <w:rsid w:val="008038F3"/>
    <w:rsid w:val="008050A6"/>
    <w:rsid w:val="00815AAC"/>
    <w:rsid w:val="008563AE"/>
    <w:rsid w:val="00862F41"/>
    <w:rsid w:val="00863750"/>
    <w:rsid w:val="00865102"/>
    <w:rsid w:val="00870844"/>
    <w:rsid w:val="00870B8A"/>
    <w:rsid w:val="008750E8"/>
    <w:rsid w:val="00897632"/>
    <w:rsid w:val="008A0194"/>
    <w:rsid w:val="008A1E51"/>
    <w:rsid w:val="008A2413"/>
    <w:rsid w:val="008A71B2"/>
    <w:rsid w:val="008C5A4F"/>
    <w:rsid w:val="008C7F03"/>
    <w:rsid w:val="008D7FB4"/>
    <w:rsid w:val="008F0925"/>
    <w:rsid w:val="008F17BB"/>
    <w:rsid w:val="008F26A6"/>
    <w:rsid w:val="00904235"/>
    <w:rsid w:val="00907A96"/>
    <w:rsid w:val="00915F4F"/>
    <w:rsid w:val="00923592"/>
    <w:rsid w:val="0092645C"/>
    <w:rsid w:val="00933C41"/>
    <w:rsid w:val="00943BAB"/>
    <w:rsid w:val="009655C3"/>
    <w:rsid w:val="0097368B"/>
    <w:rsid w:val="009816A0"/>
    <w:rsid w:val="009A32DD"/>
    <w:rsid w:val="009B09A6"/>
    <w:rsid w:val="009C2AFD"/>
    <w:rsid w:val="009C6913"/>
    <w:rsid w:val="009D3B52"/>
    <w:rsid w:val="009D4755"/>
    <w:rsid w:val="009D603A"/>
    <w:rsid w:val="009E63D1"/>
    <w:rsid w:val="009E6FAA"/>
    <w:rsid w:val="009E7277"/>
    <w:rsid w:val="009F20A5"/>
    <w:rsid w:val="00A06A76"/>
    <w:rsid w:val="00A16332"/>
    <w:rsid w:val="00A27AD4"/>
    <w:rsid w:val="00A369DD"/>
    <w:rsid w:val="00A52065"/>
    <w:rsid w:val="00A53583"/>
    <w:rsid w:val="00A67EA9"/>
    <w:rsid w:val="00A71FD7"/>
    <w:rsid w:val="00A75A1F"/>
    <w:rsid w:val="00A86054"/>
    <w:rsid w:val="00A86346"/>
    <w:rsid w:val="00A86C1C"/>
    <w:rsid w:val="00A91B30"/>
    <w:rsid w:val="00A9734E"/>
    <w:rsid w:val="00AA2CEA"/>
    <w:rsid w:val="00AA726E"/>
    <w:rsid w:val="00AB6CA4"/>
    <w:rsid w:val="00AC0161"/>
    <w:rsid w:val="00AD0AB9"/>
    <w:rsid w:val="00AD11BB"/>
    <w:rsid w:val="00AD6FD7"/>
    <w:rsid w:val="00AE0BE7"/>
    <w:rsid w:val="00AE2BD1"/>
    <w:rsid w:val="00AE2F9E"/>
    <w:rsid w:val="00AE4D3C"/>
    <w:rsid w:val="00AE5BD7"/>
    <w:rsid w:val="00AF1F72"/>
    <w:rsid w:val="00AF3D57"/>
    <w:rsid w:val="00AF7D06"/>
    <w:rsid w:val="00B0467B"/>
    <w:rsid w:val="00B111C4"/>
    <w:rsid w:val="00B13647"/>
    <w:rsid w:val="00B25DA9"/>
    <w:rsid w:val="00B25EA2"/>
    <w:rsid w:val="00B278C2"/>
    <w:rsid w:val="00B27CF9"/>
    <w:rsid w:val="00B36165"/>
    <w:rsid w:val="00B44A99"/>
    <w:rsid w:val="00B55CBD"/>
    <w:rsid w:val="00B665A0"/>
    <w:rsid w:val="00B71530"/>
    <w:rsid w:val="00B76DFC"/>
    <w:rsid w:val="00B83C06"/>
    <w:rsid w:val="00B90967"/>
    <w:rsid w:val="00B95D2C"/>
    <w:rsid w:val="00BB666E"/>
    <w:rsid w:val="00BD358B"/>
    <w:rsid w:val="00BD6085"/>
    <w:rsid w:val="00BD679C"/>
    <w:rsid w:val="00BD7A18"/>
    <w:rsid w:val="00BE1064"/>
    <w:rsid w:val="00BF0662"/>
    <w:rsid w:val="00C04DE7"/>
    <w:rsid w:val="00C25A0A"/>
    <w:rsid w:val="00C409BD"/>
    <w:rsid w:val="00C4482B"/>
    <w:rsid w:val="00C44949"/>
    <w:rsid w:val="00C46749"/>
    <w:rsid w:val="00C51040"/>
    <w:rsid w:val="00C60492"/>
    <w:rsid w:val="00C61CFF"/>
    <w:rsid w:val="00C66B4E"/>
    <w:rsid w:val="00C72A97"/>
    <w:rsid w:val="00C74054"/>
    <w:rsid w:val="00C76F9C"/>
    <w:rsid w:val="00C943E4"/>
    <w:rsid w:val="00CB0D2B"/>
    <w:rsid w:val="00CB71EA"/>
    <w:rsid w:val="00CC0315"/>
    <w:rsid w:val="00CC12F1"/>
    <w:rsid w:val="00CD0920"/>
    <w:rsid w:val="00CE6218"/>
    <w:rsid w:val="00CF7FE8"/>
    <w:rsid w:val="00D46221"/>
    <w:rsid w:val="00D468B2"/>
    <w:rsid w:val="00D47CDB"/>
    <w:rsid w:val="00D62D6B"/>
    <w:rsid w:val="00D85EB8"/>
    <w:rsid w:val="00D91062"/>
    <w:rsid w:val="00D955E9"/>
    <w:rsid w:val="00DC4304"/>
    <w:rsid w:val="00DD093F"/>
    <w:rsid w:val="00DD7F4E"/>
    <w:rsid w:val="00E01176"/>
    <w:rsid w:val="00E012A9"/>
    <w:rsid w:val="00E124F0"/>
    <w:rsid w:val="00E20CEE"/>
    <w:rsid w:val="00E24B3E"/>
    <w:rsid w:val="00E26F4F"/>
    <w:rsid w:val="00E31C96"/>
    <w:rsid w:val="00E33AEB"/>
    <w:rsid w:val="00E37101"/>
    <w:rsid w:val="00E41423"/>
    <w:rsid w:val="00E415CB"/>
    <w:rsid w:val="00E4290B"/>
    <w:rsid w:val="00E46583"/>
    <w:rsid w:val="00E539CD"/>
    <w:rsid w:val="00E57EB9"/>
    <w:rsid w:val="00E7606B"/>
    <w:rsid w:val="00E856B9"/>
    <w:rsid w:val="00E95A60"/>
    <w:rsid w:val="00ED296F"/>
    <w:rsid w:val="00ED4F9A"/>
    <w:rsid w:val="00EE77B2"/>
    <w:rsid w:val="00EF3402"/>
    <w:rsid w:val="00EF4B83"/>
    <w:rsid w:val="00F02354"/>
    <w:rsid w:val="00F10F45"/>
    <w:rsid w:val="00F11B76"/>
    <w:rsid w:val="00F20291"/>
    <w:rsid w:val="00F21DCE"/>
    <w:rsid w:val="00F232E3"/>
    <w:rsid w:val="00F365F4"/>
    <w:rsid w:val="00F37A98"/>
    <w:rsid w:val="00F5506A"/>
    <w:rsid w:val="00F563CC"/>
    <w:rsid w:val="00F61BEC"/>
    <w:rsid w:val="00F634A6"/>
    <w:rsid w:val="00F76F01"/>
    <w:rsid w:val="00F86CBA"/>
    <w:rsid w:val="00F87DED"/>
    <w:rsid w:val="00FA13DB"/>
    <w:rsid w:val="00FA34B8"/>
    <w:rsid w:val="00FB1D86"/>
    <w:rsid w:val="00FB4109"/>
    <w:rsid w:val="00FC1C14"/>
    <w:rsid w:val="00FD3C1D"/>
    <w:rsid w:val="00FE496D"/>
    <w:rsid w:val="00FE5772"/>
    <w:rsid w:val="00FE62DB"/>
    <w:rsid w:val="00FF4E1A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1D959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6F9C"/>
    <w:rPr>
      <w:rFonts w:ascii="Times New Roman" w:hAnsi="Times New Roman"/>
      <w:color w:val="483733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AB2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34E"/>
  </w:style>
  <w:style w:type="paragraph" w:styleId="Footer">
    <w:name w:val="footer"/>
    <w:basedOn w:val="Normal"/>
    <w:link w:val="FooterChar"/>
    <w:uiPriority w:val="99"/>
    <w:unhideWhenUsed/>
    <w:rsid w:val="008C5A4F"/>
    <w:pPr>
      <w:tabs>
        <w:tab w:val="right" w:pos="9900"/>
      </w:tabs>
      <w:suppressAutoHyphens/>
      <w:spacing w:after="0" w:line="240" w:lineRule="auto"/>
    </w:pPr>
    <w:rPr>
      <w:color w:val="969696"/>
      <w:kern w:val="8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8C5A4F"/>
    <w:rPr>
      <w:color w:val="969696"/>
      <w:kern w:val="8"/>
      <w:sz w:val="20"/>
    </w:rPr>
  </w:style>
  <w:style w:type="character" w:styleId="Hyperlink">
    <w:name w:val="Hyperlink"/>
    <w:basedOn w:val="DefaultParagraphFont"/>
    <w:uiPriority w:val="99"/>
    <w:unhideWhenUsed/>
    <w:rsid w:val="002A7AF6"/>
    <w:rPr>
      <w:rFonts w:ascii="Arial" w:hAnsi="Arial"/>
      <w:color w:val="F96800" w:themeColor="accent1"/>
      <w:sz w:val="20"/>
      <w:u w:val="none"/>
    </w:rPr>
  </w:style>
  <w:style w:type="character" w:styleId="Mention">
    <w:name w:val="Mention"/>
    <w:basedOn w:val="DefaultParagraphFont"/>
    <w:uiPriority w:val="99"/>
    <w:semiHidden/>
    <w:unhideWhenUsed/>
    <w:rsid w:val="00A9734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203AB2"/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paragraph" w:customStyle="1" w:styleId="Body">
    <w:name w:val="Body"/>
    <w:basedOn w:val="Normal"/>
    <w:qFormat/>
    <w:rsid w:val="00203AB2"/>
    <w:pPr>
      <w:suppressAutoHyphens/>
      <w:spacing w:after="240" w:line="360" w:lineRule="exact"/>
    </w:pPr>
    <w:rPr>
      <w:kern w:val="8"/>
      <w:sz w:val="18"/>
    </w:rPr>
  </w:style>
  <w:style w:type="paragraph" w:customStyle="1" w:styleId="Intro">
    <w:name w:val="Intro"/>
    <w:basedOn w:val="Body"/>
    <w:qFormat/>
    <w:rsid w:val="00A53583"/>
    <w:pPr>
      <w:spacing w:before="300" w:after="300" w:line="420" w:lineRule="exact"/>
    </w:pPr>
    <w:rPr>
      <w:sz w:val="32"/>
      <w14:ligatures w14:val="standard"/>
    </w:rPr>
  </w:style>
  <w:style w:type="paragraph" w:customStyle="1" w:styleId="H1">
    <w:name w:val="H1"/>
    <w:basedOn w:val="Body"/>
    <w:qFormat/>
    <w:rsid w:val="006F1D72"/>
    <w:pPr>
      <w:spacing w:after="120" w:line="580" w:lineRule="exact"/>
    </w:pPr>
    <w:rPr>
      <w:noProof/>
      <w:sz w:val="48"/>
      <w14:ligatures w14:val="standard"/>
    </w:rPr>
  </w:style>
  <w:style w:type="paragraph" w:customStyle="1" w:styleId="Position">
    <w:name w:val="Position"/>
    <w:basedOn w:val="Body"/>
    <w:qFormat/>
    <w:rsid w:val="006F1D72"/>
    <w:pPr>
      <w:spacing w:before="260" w:after="120" w:line="240" w:lineRule="exact"/>
      <w:contextualSpacing/>
    </w:pPr>
    <w:rPr>
      <w:sz w:val="16"/>
    </w:rPr>
  </w:style>
  <w:style w:type="paragraph" w:customStyle="1" w:styleId="Contact">
    <w:name w:val="Contact"/>
    <w:basedOn w:val="Position"/>
    <w:qFormat/>
    <w:rsid w:val="00B27CF9"/>
    <w:pPr>
      <w:spacing w:before="160"/>
    </w:pPr>
  </w:style>
  <w:style w:type="character" w:customStyle="1" w:styleId="Practice">
    <w:name w:val="Practice"/>
    <w:basedOn w:val="DefaultParagraphFont"/>
    <w:uiPriority w:val="1"/>
    <w:qFormat/>
    <w:rsid w:val="00B36165"/>
    <w:rPr>
      <w:i/>
    </w:rPr>
  </w:style>
  <w:style w:type="paragraph" w:customStyle="1" w:styleId="H2">
    <w:name w:val="H2"/>
    <w:basedOn w:val="H1"/>
    <w:qFormat/>
    <w:rsid w:val="00B27CF9"/>
    <w:pPr>
      <w:keepNext/>
      <w:keepLines/>
      <w:spacing w:before="580" w:after="200" w:line="420" w:lineRule="exact"/>
    </w:pPr>
    <w:rPr>
      <w:sz w:val="32"/>
    </w:rPr>
  </w:style>
  <w:style w:type="paragraph" w:customStyle="1" w:styleId="H3">
    <w:name w:val="H3"/>
    <w:basedOn w:val="H2"/>
    <w:qFormat/>
    <w:rsid w:val="00870844"/>
    <w:pPr>
      <w:spacing w:before="180" w:after="0" w:line="300" w:lineRule="exact"/>
    </w:pPr>
    <w:rPr>
      <w:rFonts w:ascii="Arial" w:hAnsi="Arial"/>
      <w:caps/>
      <w:color w:val="F96800" w:themeColor="accent1"/>
      <w:sz w:val="18"/>
      <w14:ligatures w14:val="none"/>
    </w:rPr>
  </w:style>
  <w:style w:type="paragraph" w:customStyle="1" w:styleId="Details">
    <w:name w:val="Details"/>
    <w:basedOn w:val="Body"/>
    <w:qFormat/>
    <w:rsid w:val="00B27CF9"/>
    <w:pPr>
      <w:spacing w:after="60" w:line="300" w:lineRule="exact"/>
    </w:pPr>
  </w:style>
  <w:style w:type="paragraph" w:customStyle="1" w:styleId="ListBullet">
    <w:name w:val="ListBullet"/>
    <w:basedOn w:val="Body"/>
    <w:next w:val="Body"/>
    <w:link w:val="ListBulletChar"/>
    <w:qFormat/>
    <w:rsid w:val="00F563CC"/>
    <w:pPr>
      <w:numPr>
        <w:numId w:val="7"/>
      </w:numPr>
    </w:pPr>
    <w:rPr>
      <w:sz w:val="22"/>
    </w:rPr>
  </w:style>
  <w:style w:type="paragraph" w:customStyle="1" w:styleId="RecognitionItem">
    <w:name w:val="Recognition Item"/>
    <w:basedOn w:val="H2"/>
    <w:qFormat/>
    <w:rsid w:val="00F634A6"/>
    <w:pPr>
      <w:spacing w:before="260" w:after="0" w:line="340" w:lineRule="exact"/>
    </w:pPr>
  </w:style>
  <w:style w:type="paragraph" w:customStyle="1" w:styleId="RecognitionSource">
    <w:name w:val="Recognition Source"/>
    <w:basedOn w:val="H3"/>
    <w:qFormat/>
    <w:rsid w:val="008563AE"/>
    <w:pPr>
      <w:keepNext w:val="0"/>
      <w:spacing w:before="0" w:after="240"/>
    </w:pPr>
    <w:rPr>
      <w:color w:val="7F7F7F" w:themeColor="text1" w:themeTint="80"/>
      <w:sz w:val="16"/>
      <w:szCs w:val="16"/>
    </w:rPr>
  </w:style>
  <w:style w:type="paragraph" w:customStyle="1" w:styleId="Rule">
    <w:name w:val="Rule"/>
    <w:basedOn w:val="Body"/>
    <w:qFormat/>
    <w:rsid w:val="00F634A6"/>
    <w:pPr>
      <w:keepNext/>
      <w:keepLines/>
      <w:spacing w:after="40" w:line="240" w:lineRule="exact"/>
    </w:pPr>
  </w:style>
  <w:style w:type="table" w:styleId="TableGrid">
    <w:name w:val="Table Grid"/>
    <w:basedOn w:val="TableNormal"/>
    <w:uiPriority w:val="39"/>
    <w:rsid w:val="00AE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ilsDate">
    <w:name w:val="Details Date"/>
    <w:basedOn w:val="Details"/>
    <w:qFormat/>
    <w:rsid w:val="001065DC"/>
    <w:pPr>
      <w:keepNext/>
      <w:keepLines/>
      <w:spacing w:after="0"/>
    </w:pPr>
    <w:rPr>
      <w:i/>
    </w:rPr>
  </w:style>
  <w:style w:type="paragraph" w:customStyle="1" w:styleId="ViewAll">
    <w:name w:val="View All"/>
    <w:basedOn w:val="H3"/>
    <w:qFormat/>
    <w:rsid w:val="008C5A4F"/>
    <w:pPr>
      <w:keepNext w:val="0"/>
      <w:spacing w:before="120"/>
    </w:pPr>
  </w:style>
  <w:style w:type="table" w:customStyle="1" w:styleId="ViewAllTable">
    <w:name w:val="View All Table"/>
    <w:basedOn w:val="TableNormal"/>
    <w:uiPriority w:val="99"/>
    <w:rsid w:val="002A7419"/>
    <w:pPr>
      <w:spacing w:after="0" w:line="240" w:lineRule="auto"/>
    </w:pPr>
    <w:tblPr>
      <w:tblBorders>
        <w:bottom w:val="single" w:sz="18" w:space="0" w:color="F96800" w:themeColor="accent1"/>
      </w:tblBorders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FB2"/>
    <w:rPr>
      <w:rFonts w:ascii="Segoe UI" w:hAnsi="Segoe UI" w:cs="Segoe UI"/>
      <w:sz w:val="18"/>
      <w:szCs w:val="18"/>
    </w:rPr>
  </w:style>
  <w:style w:type="paragraph" w:customStyle="1" w:styleId="Text">
    <w:name w:val="Text"/>
    <w:qFormat/>
    <w:rsid w:val="00933C41"/>
    <w:pPr>
      <w:keepLines/>
      <w:suppressAutoHyphens/>
      <w:spacing w:before="180" w:after="300" w:line="400" w:lineRule="exact"/>
    </w:pPr>
    <w:rPr>
      <w:rFonts w:ascii="Times New Roman" w:hAnsi="Times New Roman"/>
      <w:color w:val="483733" w:themeColor="text2"/>
      <w:kern w:val="8"/>
      <w:sz w:val="28"/>
      <w14:ligatures w14:val="standard"/>
    </w:rPr>
  </w:style>
  <w:style w:type="paragraph" w:customStyle="1" w:styleId="TextBullet">
    <w:name w:val="Text Bullet"/>
    <w:basedOn w:val="Text"/>
    <w:qFormat/>
    <w:rsid w:val="00E012A9"/>
    <w:pPr>
      <w:numPr>
        <w:numId w:val="2"/>
      </w:numPr>
      <w:ind w:left="240" w:hanging="240"/>
      <w:contextualSpacing/>
    </w:pPr>
  </w:style>
  <w:style w:type="paragraph" w:customStyle="1" w:styleId="LawyerName">
    <w:name w:val="Lawyer Name"/>
    <w:basedOn w:val="Details"/>
    <w:qFormat/>
    <w:rsid w:val="007633A3"/>
    <w:pPr>
      <w:spacing w:after="0" w:line="240" w:lineRule="exact"/>
    </w:pPr>
  </w:style>
  <w:style w:type="paragraph" w:customStyle="1" w:styleId="LawyerCity">
    <w:name w:val="Lawyer City"/>
    <w:basedOn w:val="LawyerName"/>
    <w:qFormat/>
    <w:rsid w:val="007633A3"/>
    <w:pPr>
      <w:spacing w:after="240"/>
    </w:pPr>
  </w:style>
  <w:style w:type="character" w:customStyle="1" w:styleId="Bold">
    <w:name w:val="Bold"/>
    <w:basedOn w:val="DefaultParagraphFont"/>
    <w:uiPriority w:val="1"/>
    <w:qFormat/>
    <w:rsid w:val="006A7E5A"/>
    <w:rPr>
      <w:b/>
    </w:rPr>
  </w:style>
  <w:style w:type="paragraph" w:customStyle="1" w:styleId="DetailsText">
    <w:name w:val="Details Text"/>
    <w:basedOn w:val="Details"/>
    <w:qFormat/>
    <w:rsid w:val="000D2758"/>
    <w:pPr>
      <w:spacing w:after="300"/>
    </w:pPr>
  </w:style>
  <w:style w:type="paragraph" w:customStyle="1" w:styleId="OfficeAddress">
    <w:name w:val="Office Address"/>
    <w:basedOn w:val="Text"/>
    <w:qFormat/>
    <w:rsid w:val="00D955E9"/>
    <w:pPr>
      <w:spacing w:line="340" w:lineRule="exact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06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6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6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6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6D1"/>
    <w:rPr>
      <w:b/>
      <w:bCs/>
      <w:sz w:val="20"/>
      <w:szCs w:val="20"/>
    </w:rPr>
  </w:style>
  <w:style w:type="character" w:customStyle="1" w:styleId="ListBulletChar">
    <w:name w:val="ListBullet Char"/>
    <w:basedOn w:val="DefaultParagraphFont"/>
    <w:link w:val="ListBullet"/>
    <w:rsid w:val="00F563CC"/>
    <w:rPr>
      <w:color w:val="483733" w:themeColor="text2"/>
      <w:kern w:val="8"/>
    </w:rPr>
  </w:style>
  <w:style w:type="paragraph" w:styleId="ListParagraph">
    <w:name w:val="List Paragraph"/>
    <w:basedOn w:val="Normal"/>
    <w:uiPriority w:val="34"/>
    <w:qFormat/>
    <w:rsid w:val="00C943E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523579"/>
    <w:pPr>
      <w:ind w:left="36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23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3579"/>
  </w:style>
  <w:style w:type="character" w:customStyle="1" w:styleId="Heading2Char">
    <w:name w:val="Heading 2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BA4D00" w:themeColor="accent1" w:themeShade="BF"/>
    </w:rPr>
  </w:style>
  <w:style w:type="character" w:customStyle="1" w:styleId="Heading5Char">
    <w:name w:val="Heading 5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</w:rPr>
  </w:style>
  <w:style w:type="character" w:customStyle="1" w:styleId="Heading6Char">
    <w:name w:val="Heading 6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7C3300" w:themeColor="accent1" w:themeShade="7F"/>
    </w:rPr>
  </w:style>
  <w:style w:type="character" w:customStyle="1" w:styleId="Heading8Char">
    <w:name w:val="Heading 8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PromoTitle">
    <w:name w:val="Promo Title"/>
    <w:basedOn w:val="H2"/>
    <w:qFormat/>
    <w:rsid w:val="00863750"/>
    <w:pPr>
      <w:pBdr>
        <w:top w:val="single" w:sz="12" w:space="16" w:color="767967" w:themeColor="background2" w:themeShade="80"/>
      </w:pBdr>
      <w:spacing w:before="480" w:after="240" w:line="480" w:lineRule="exact"/>
    </w:pPr>
    <w:rPr>
      <w:rFonts w:ascii="Georgia" w:hAnsi="Georgia"/>
      <w:sz w:val="36"/>
      <w:szCs w:val="24"/>
    </w:rPr>
  </w:style>
  <w:style w:type="paragraph" w:customStyle="1" w:styleId="HyperlinkParagraphStyle">
    <w:name w:val="Hyperlink Paragraph Style"/>
    <w:qFormat/>
    <w:rsid w:val="00863750"/>
    <w:pPr>
      <w:spacing w:before="240"/>
    </w:pPr>
    <w:rPr>
      <w:caps/>
      <w:noProof/>
      <w:color w:val="F96800" w:themeColor="accent1"/>
      <w:kern w:val="8"/>
      <w:sz w:val="24"/>
      <w:u w:val="single" w:color="F96800" w:themeColor="accent1"/>
    </w:rPr>
  </w:style>
  <w:style w:type="character" w:styleId="UnresolvedMention">
    <w:name w:val="Unresolved Mention"/>
    <w:basedOn w:val="DefaultParagraphFont"/>
    <w:uiPriority w:val="99"/>
    <w:rsid w:val="00A67E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C740F"/>
    <w:rPr>
      <w:rFonts w:ascii="Arial" w:hAnsi="Arial"/>
      <w:color w:val="F96800" w:themeColor="accent1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Type="http://schemas.openxmlformats.org/officeDocument/2006/relationships/hyperlink" Target="https://www.kslaw.com/people?capability_id=82" TargetMode="External" Id="rId13"/><Relationship Type="http://schemas.openxmlformats.org/officeDocument/2006/relationships/hyperlink" Target="https://www.kslaw.com/news-and-insights?capability_id=82&amp;post_category_id=1&amp;post_type=0" TargetMode="External" Id="rId14"/><Relationship Type="http://schemas.openxmlformats.org/officeDocument/2006/relationships/hyperlink" Target="https://www.kslaw.com/news-and-insights?capability_id=82&amp;post_type=2" TargetMode="External" Id="rId15"/><Relationship Type="http://schemas.openxmlformats.org/officeDocument/2006/relationships/hyperlink" Target="https://www.kslaw.com/news-and-insights?capability_id=82&amp;post_type=1" TargetMode="External" Id="rId16"/><Relationship Type="http://schemas.openxmlformats.org/officeDocument/2006/relationships/hyperlink" Target="https://www.kslaw.com/news-and-insights?capability_id=82&amp;post_type=0" TargetMode="External" Id="rId17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g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file:////Users/maggie/Desktop/KS_DOC17_Practice_Template_v1.dotx" TargetMode="External"/></Relationships>

</file>

<file path=word/theme/theme1.xml><?xml version="1.0" encoding="utf-8"?>
<a:theme xmlns:a="http://schemas.openxmlformats.org/drawingml/2006/main" name="Office Theme">
  <a:themeElements>
    <a:clrScheme name="King &amp; Spalding">
      <a:dk1>
        <a:sysClr val="windowText" lastClr="000000"/>
      </a:dk1>
      <a:lt1>
        <a:sysClr val="window" lastClr="FFFFFF"/>
      </a:lt1>
      <a:dk2>
        <a:srgbClr val="483733"/>
      </a:dk2>
      <a:lt2>
        <a:srgbClr val="E2E3DE"/>
      </a:lt2>
      <a:accent1>
        <a:srgbClr val="F96800"/>
      </a:accent1>
      <a:accent2>
        <a:srgbClr val="0083AD"/>
      </a:accent2>
      <a:accent3>
        <a:srgbClr val="0D807E"/>
      </a:accent3>
      <a:accent4>
        <a:srgbClr val="3A3B3F"/>
      </a:accent4>
      <a:accent5>
        <a:srgbClr val="00BBEB"/>
      </a:accent5>
      <a:accent6>
        <a:srgbClr val="0ABFAA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Id="rId1" Type="http://schemas.openxmlformats.org/officeDocument/2006/relationships/customXmlProps" Target="itemProps1.xml"/>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0D75A1-9FB4-E743-A45C-EA53A9760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KS_DOC17_Practice_Template_v1.dotx</Template>
  <TotalTime>104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Lei</dc:creator>
  <cp:keywords/>
  <dc:description/>
  <cp:lastModifiedBy>Grant Currie</cp:lastModifiedBy>
  <cp:revision>203</cp:revision>
  <cp:lastPrinted>2017-04-11T14:25:00Z</cp:lastPrinted>
  <dcterms:created xsi:type="dcterms:W3CDTF">2017-04-13T17:41:00Z</dcterms:created>
  <dcterms:modified xsi:type="dcterms:W3CDTF">2022-02-15T23:04:00Z</dcterms:modified>
</cp:coreProperties>
</file>