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Special Purpose Acquisition Companies (SPACs)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Leveraging our deep experience in capital markets, M&amp;A, securities litigation, securities enforcement, tax and executive compensation and supporting practices, King &amp; Spalding continues to be a leading advisor in the rapidly evolving SPAC space.  Our cross-practice, fully integrated team can seamlessly speak to and deal with the functional aspects of SPAC transactions and the associated risks.</w:t>
      </w:r>
    </w:p>
    <w:p>
      <w:pPr>
        <w:pStyle w:val="Paragraph"/>
      </w:pPr>
      <w:r>
        <w:t xml:space="preserve">Clients value our ability to build the right team of advisors when dealing with SPACs.  Whether guiding sponsors through initial formation and the IPO; leading SPACs or targets through negotiations, deal execution and public company readiness; representing placement agents and investors in connection with PIPE transactions; representing SPACs, targets and de-SPACed companies in securities and fiduciary litigation; representing professional or financial services firms in SPAC litigation; or advocating for and guiding clients through regulatory inquiry or enforcement, we provide the experience and coordination required to grant our clients the competitive edge and deliver successful results.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Keith M. Townsend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Dixie L. Johnson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Washington, D.C.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Elizabeth Morgan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Robert E. Benson, Jr.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2025-10-28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Terrestrial Energy Inc. Completes Business Combination with HCM II Acquisition Corp.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2024-08-22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Is Representing USARE in Becoming a Publicly Traded Company via Business Combination with IPXX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2024-03-20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HCM Acquisition Corp Closes de-SPAC with Murano Global Investments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3DA54A6" w14:textId="77777777" w:rsidR="00E01176" w:rsidRPr="00E01176" w:rsidRDefault="00E01176" w:rsidP="00777C77">
      <w:pPr>
        <w:pStyle w:val="H2"/>
      </w:pPr>
      <w:r w:rsidRPr="00E01176">
        <w:t>Insights</w:t>
      </w: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2024-07-05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First-Of-Its-Kind Chancery Ruling Will Aid SPAC Defendants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2023-02-23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Garfield v. Boxed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Article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2022-06-01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Emerging Trends in SPAC Litigation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685C2BB6" w14:textId="521F4753" w:rsidR="007922E2" w:rsidRPr="00C46749" w:rsidRDefault="00D62D6B" w:rsidP="007922E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DE860A" wp14:editId="4A7DF8FC">
                <wp:simplePos x="0" y="0"/>
                <wp:positionH relativeFrom="column">
                  <wp:posOffset>6350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253E2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20.95pt" to="47.3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7922E2" w:rsidRPr="00C46749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2025-10-21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Tax partner Russell Warren joins the Corporate practice group in London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Press Release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2025-10-21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Tax Partner Russell Warren Joins King &amp; Spalding in London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2025-03-26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Kevin Manz, Tim FitzSimons, Meredith O'Leary, John Sweet, Scott Petty, Jerome Hughes and Nick Mattone counsel HCM II Acquisition Corp. on its $925M SPAC merger with Terrestrial Energy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6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123" TargetMode="External" Id="rId13"/><Relationship Type="http://schemas.openxmlformats.org/officeDocument/2006/relationships/hyperlink" Target="https://www.kslaw.com/news-and-insights?capability_id=123&amp;post_category_id=1&amp;post_type=0" TargetMode="External" Id="rId14"/><Relationship Type="http://schemas.openxmlformats.org/officeDocument/2006/relationships/hyperlink" Target="https://www.kslaw.com/news-and-insights?capability_id=123&amp;post_type=2" TargetMode="External" Id="rId15"/><Relationship Type="http://schemas.openxmlformats.org/officeDocument/2006/relationships/hyperlink" Target="https://www.kslaw.com/news-and-insights?capability_id=123&amp;post_type=0" TargetMode="External" Id="rId16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