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Real Estate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Le secteur immobilier est confronté à de nombreux défis en raison de  l'évolution constante des conditions, de la structure et de la régulation du marché. Notre équipe Immobilier s'appuie sur une connaissance pointue des moteurs, développements et variations propres à ce secteur nous permettant d'adopter une approche commerciale ciblée pour débloquer des situations généralement inextricables.</w:t>
      </w:r>
    </w:p>
    <w:p>
      <w:pPr>
        <w:pStyle w:val="Paragraph"/>
      </w:pPr>
      <w:r>
        <w:t xml:space="preserve">Notre équipe prête main-forte à des acteurs majeurs du monde de l'immobilier, aux États-Unis et dans plus de 50 pays, y compris des propriétaires-exploitants, des gestionnaires d’investissement, des fonds privés, des investisseurs, des sociétés immobilières cotées publiques et privées, des prêteurs et des emprunteurs, dans le cadre de la structuration et de la mise en œuvre d'opérations immobilières complexes de toute nature, notamment :</w:t>
      </w:r>
    </w:p>
    <w:p>
      <w:pPr>
        <w:pStyle w:val="ListBullet"/>
        <w:numPr>
          <w:ilvl w:val="0"/>
          <w:numId w:val="21"/>
        </w:numPr>
      </w:pPr>
      <w:r>
        <w:t xml:space="preserve">•  acquisitions, cessions et financements</w:t>
      </w:r>
    </w:p>
    <w:p>
      <w:pPr>
        <w:pStyle w:val="ListBullet"/>
        <w:numPr>
          <w:ilvl w:val="0"/>
          <w:numId w:val="21"/>
        </w:numPr>
      </w:pPr>
      <w:r>
        <w:t xml:space="preserve">•  
</w:t>
      </w:r>
      <w:r>
        <w:rPr>
          <w:i/>
        </w:rPr>
        <w:t xml:space="preserve">joint-ventures</w:t>
      </w:r>
      <w:r>
        <w:t xml:space="preserve"> complexes</w:t>
      </w:r>
    </w:p>
    <w:p>
      <w:pPr>
        <w:pStyle w:val="ListBullet"/>
        <w:numPr>
          <w:ilvl w:val="0"/>
          <w:numId w:val="21"/>
        </w:numPr>
      </w:pPr>
      <w:r>
        <w:t xml:space="preserve">•  fonds immobiliers</w:t>
      </w:r>
    </w:p>
    <w:p>
      <w:pPr>
        <w:pStyle w:val="ListBullet"/>
        <w:numPr>
          <w:ilvl w:val="0"/>
          <w:numId w:val="21"/>
        </w:numPr>
      </w:pPr>
      <w:r>
        <w:t xml:space="preserve">•  projets de promotion immobilière</w:t>
      </w:r>
    </w:p>
    <w:p>
      <w:pPr>
        <w:pStyle w:val="ListBullet"/>
        <w:numPr>
          <w:ilvl w:val="0"/>
          <w:numId w:val="21"/>
        </w:numPr>
      </w:pPr>
      <w:r>
        <w:t xml:space="preserve">•  fusions-acquisitions dans le domaine de l'immobilier</w:t>
      </w:r>
    </w:p>
    <w:p>
      <w:pPr>
        <w:pStyle w:val="ListBullet"/>
        <w:numPr>
          <w:ilvl w:val="0"/>
          <w:numId w:val="21"/>
        </w:numPr>
      </w:pPr>
      <w:r>
        <w:t xml:space="preserve">•  restructurations financières</w:t>
      </w:r>
    </w:p>
    <w:p>
      <w:pPr>
        <w:pStyle w:val="ListBullet"/>
        <w:numPr>
          <w:ilvl w:val="0"/>
          <w:numId w:val="21"/>
        </w:numPr>
      </w:pPr>
      <w:r>
        <w:t xml:space="preserve">•  stratégies de capitalisation dans les secteurs public et privé</w:t>
      </w:r>
    </w:p>
    <w:p>
      <w:pPr>
        <w:pStyle w:val="ListBullet"/>
        <w:numPr>
          <w:ilvl w:val="0"/>
          <w:numId w:val="21"/>
        </w:numPr>
      </w:pPr>
      <w:r>
        <w:t xml:space="preserve">•  structurations fiscales nationales et transfrontalières</w:t>
      </w:r>
    </w:p>
    <w:p>
      <w:pPr>
        <w:pStyle w:val="ListBullet"/>
        <w:numPr>
          <w:ilvl w:val="0"/>
          <w:numId w:val="21"/>
        </w:numPr>
      </w:pPr>
      <w:r>
        <w:t xml:space="preserve">•  opérations de finance islamique</w:t>
      </w:r>
    </w:p>
    <w:p>
      <w:pPr>
        <w:pStyle w:val="Paragraph"/>
      </w:pPr>
      <w:r>
        <w:t xml:space="preserve">Nous sommes présents là où nos clients ont besoin de nous aux quatre coins du globe ; notre travail a été reconnu aux États-Unis, en Europe, au Moyen-Orient et en Amérique Latine.</w:t>
      </w:r>
    </w:p>
    <w:p>
      <w:pPr>
        <w:pStyle w:val="Paragraph"/>
      </w:pPr>
      <w:r>
        <w:t xml:space="preserve">Notre équipe Immobilier conseille des clients partout dans le monde dans le cadre de la gestion d'opérations nationales et transnationales relatives à de nombreux secteurs, notamment l'énergie, les infrastructures, l'hôtellerie et la santé.</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3 in Nationwide Real Estate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in Georgia Real Estate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4 in New York Real Estate: Mainly Corporate &amp; Finance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