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3E60" w14:textId="0EC731CB" w:rsidR="00112F46" w:rsidRDefault="00112F46" w:rsidP="003E5F64">
      <w:pPr>
        <w:pStyle w:val="Rule"/>
        <w:spacing w:before="200" w:after="120"/>
        <w:rPr>
          <w:noProof/>
          <w:sz w:val="48"/>
          <w14:ligatures w14:val="standard"/>
        </w:rPr>
      </w:pPr>
      <w:r>
        <w:rPr>
          <w:noProof/>
          <w:sz w:val="48"/>
          <w14:ligatures w14:val="standard"/>
        </w:rPr>
        <w:t>Real Estate</w:t>
      </w:r>
    </w:p>
    <w:p w14:paraId="565518C3" w14:textId="3CF573BA" w:rsidR="002C2FC6" w:rsidRPr="00425048" w:rsidRDefault="009C2AFD" w:rsidP="00405EC9">
      <w:pPr>
        <w:pStyle w:val="Rule"/>
        <w:spacing w:after="400"/>
      </w:pPr>
      <w:r w:rsidRPr="00425048">
        <w:rPr>
          <w:noProof/>
        </w:rPr>
        <mc:AlternateContent>
          <mc:Choice Requires="wps">
            <w:drawing>
              <wp:inline distT="0" distB="0" distL="0" distR="0" wp14:anchorId="2960B98C" wp14:editId="62798BFA">
                <wp:extent cx="457200" cy="27432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6DEF1" id="Rectangle 8" o:spid="_x0000_s1026" style="width:36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" fillcolor="#f96800 [3204]" stroked="f" strokeweight="1pt">
                <w10:anchorlock/>
              </v:rect>
            </w:pict>
          </mc:Fallback>
        </mc:AlternateContent>
      </w:r>
    </w:p>
    <w:p>
      <w:pPr>
        <w:pStyle w:val="Paragraph"/>
      </w:pPr>
      <w:r>
        <w:t xml:space="preserve">The real estate industry faces many challenges with constant change in market conditions, structure and regulation. Our Real Estate team has a thorough understanding of these drivers, developments and shifts within the industry, allowing us to take a business-focused approach to find solutions to complex problems that others cannot.</w:t>
      </w:r>
    </w:p>
    <w:p>
      <w:pPr>
        <w:pStyle w:val="Paragraph"/>
      </w:pPr>
      <w:r>
        <w:t xml:space="preserve">Our team assists major commercial real estate players across the U.S. and in over 50 countries, including owner-operators, investment managers, private funds, investors, public and private REITs, lenders and borrowers, in structuring and executing the full spectrum of complex real estate transactions, including:</w:t>
      </w:r>
    </w:p>
    <w:p>
      <w:pPr>
        <w:pStyle w:val="ListBullet"/>
        <w:numPr>
          <w:ilvl w:val="0"/>
          <w:numId w:val="21"/>
        </w:numPr>
      </w:pPr>
      <w:r>
        <w:t xml:space="preserve">•  acquisitions, dispositions, financings</w:t>
      </w:r>
    </w:p>
    <w:p>
      <w:pPr>
        <w:pStyle w:val="ListBullet"/>
        <w:numPr>
          <w:ilvl w:val="0"/>
          <w:numId w:val="21"/>
        </w:numPr>
      </w:pPr>
      <w:r>
        <w:t xml:space="preserve">•  complex joint ventures</w:t>
      </w:r>
    </w:p>
    <w:p>
      <w:pPr>
        <w:pStyle w:val="ListBullet"/>
        <w:numPr>
          <w:ilvl w:val="0"/>
          <w:numId w:val="21"/>
        </w:numPr>
      </w:pPr>
      <w:r>
        <w:t xml:space="preserve">•  real estate funds</w:t>
      </w:r>
    </w:p>
    <w:p>
      <w:pPr>
        <w:pStyle w:val="ListBullet"/>
        <w:numPr>
          <w:ilvl w:val="0"/>
          <w:numId w:val="21"/>
        </w:numPr>
      </w:pPr>
      <w:r>
        <w:t xml:space="preserve">•  real estate development</w:t>
      </w:r>
    </w:p>
    <w:p>
      <w:pPr>
        <w:pStyle w:val="ListBullet"/>
        <w:numPr>
          <w:ilvl w:val="0"/>
          <w:numId w:val="21"/>
        </w:numPr>
      </w:pPr>
      <w:r>
        <w:t xml:space="preserve">•  real estate mergers and acquisitions</w:t>
      </w:r>
    </w:p>
    <w:p>
      <w:pPr>
        <w:pStyle w:val="ListBullet"/>
        <w:numPr>
          <w:ilvl w:val="0"/>
          <w:numId w:val="21"/>
        </w:numPr>
      </w:pPr>
      <w:r>
        <w:t xml:space="preserve">•  financial restructuring</w:t>
      </w:r>
    </w:p>
    <w:p>
      <w:pPr>
        <w:pStyle w:val="ListBullet"/>
        <w:numPr>
          <w:ilvl w:val="0"/>
          <w:numId w:val="21"/>
        </w:numPr>
      </w:pPr>
      <w:r>
        <w:t xml:space="preserve">•  public and private capitalization strategies</w:t>
      </w:r>
    </w:p>
    <w:p>
      <w:pPr>
        <w:pStyle w:val="ListBullet"/>
        <w:numPr>
          <w:ilvl w:val="0"/>
          <w:numId w:val="21"/>
        </w:numPr>
      </w:pPr>
      <w:r>
        <w:t xml:space="preserve">•  domestic and cross-border tax structuring</w:t>
      </w:r>
    </w:p>
    <w:p>
      <w:pPr>
        <w:pStyle w:val="ListBullet"/>
        <w:numPr>
          <w:ilvl w:val="0"/>
          <w:numId w:val="21"/>
        </w:numPr>
      </w:pPr>
      <w:r>
        <w:t xml:space="preserve">•  Islamic finance</w:t>
      </w:r>
    </w:p>
    <w:p>
      <w:pPr>
        <w:pStyle w:val="Paragraph"/>
      </w:pPr>
      <w:r>
        <w:t xml:space="preserve">Located where our clients need us around the globe, we have been recognized for our work in the U.S., Europe, the Middle East and Latin America.</w:t>
      </w:r>
    </w:p>
    <w:p>
      <w:pPr>
        <w:pStyle w:val="Paragraph"/>
      </w:pPr>
      <w:r>
        <w:t xml:space="preserve">Our Real Estate team advises U.S. and non-U.S. clients in managing domestic and cross-border transactions related to many industries, notably projects and investments involving energy, infrastructure, hospitality and healthcare businesses.</w:t>
      </w:r>
    </w:p>
    <w:p w14:paraId="5432C225" w14:textId="5D910043" w:rsidR="00863750" w:rsidRDefault="003E5F64" w:rsidP="00FA13DB">
      <w:pPr>
        <w:pStyle w:val="H2"/>
        <w:spacing w:before="20" w:after="20"/>
      </w:pPr>
      <w:r>
        <w:softHyphen/>
      </w:r>
    </w:p>
    <w:p w14:paraId="7EE41E4F" w14:textId="77777777" w:rsidR="00863750" w:rsidRDefault="00863750" w:rsidP="00904235">
      <w:pPr>
        <w:pStyle w:val="H2"/>
        <w:spacing w:before="20" w:after="20"/>
      </w:pPr>
    </w:p>
    <w:p w14:paraId="24951DFB" w14:textId="00654985" w:rsidR="00E01176" w:rsidRPr="00E01176" w:rsidRDefault="00494B57" w:rsidP="006D1037">
      <w:pPr>
        <w:pStyle w:val="H2"/>
        <w:spacing w:before="20" w:after="360"/>
      </w:pPr>
      <w:r>
        <w:t>Capability</w:t>
      </w:r>
      <w:r w:rsidR="00E01176" w:rsidRPr="00E01176">
        <w:t xml:space="preserve"> Lawyers</w:t>
      </w: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Erik F. Andersen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New York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Joshua M. Kamin (Josh)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Atlanta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Jennifer M. Morgan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New York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Mark V. Thigpen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Charlotte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8CB10D5" w14:textId="2C684923" w:rsidR="008D7FB4" w:rsidRPr="00AD0AB9" w:rsidRDefault="00D62D6B" w:rsidP="00E46583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362EB" wp14:editId="3C5836BA">
                <wp:simplePos x="0" y="0"/>
                <wp:positionH relativeFrom="column">
                  <wp:posOffset>31750</wp:posOffset>
                </wp:positionH>
                <wp:positionV relativeFrom="paragraph">
                  <wp:posOffset>272415</wp:posOffset>
                </wp:positionV>
                <wp:extent cx="594360" cy="2540"/>
                <wp:effectExtent l="12700" t="12700" r="1524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DA859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1.45pt" to="49.3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r w:rsidR="00E46583" w:rsidRPr="00AD0AB9">
        <w:rPr>
          <w:rFonts w:cs="Times New Roman (Body CS)"/>
          <w:noProof/>
          <w:color w:val="F96800" w:themeColor="accent1"/>
          <w:sz w:val="20"/>
          <w:szCs w:val="20"/>
        </w:rPr>
        <w:t xml:space="preserve"> </w:t>
      </w:r>
      <w:hyperlink r:id="rId13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71693BA3" w14:textId="4C74D797" w:rsidR="00E46583" w:rsidRDefault="00E46583" w:rsidP="003F0E28">
      <w:pPr>
        <w:pStyle w:val="LawyerCity"/>
        <w:spacing w:after="0"/>
        <w:rPr>
          <w:noProof/>
          <w:color w:val="F96800" w:themeColor="accent1"/>
          <w:sz w:val="20"/>
          <w:szCs w:val="20"/>
        </w:rPr>
      </w:pPr>
    </w:p>
    <w:p w14:paraId="36813F32" w14:textId="1762390F" w:rsidR="00384701" w:rsidRDefault="00384701" w:rsidP="003F0E28">
      <w:pPr>
        <w:pStyle w:val="LawyerCity"/>
        <w:spacing w:after="0"/>
        <w:rPr>
          <w:noProof/>
          <w:color w:val="F96800" w:themeColor="accent1"/>
          <w:sz w:val="20"/>
          <w:szCs w:val="20"/>
        </w:rPr>
      </w:pPr>
    </w:p>
    <w:p w14:paraId="305BD0E9" w14:textId="4D6A4187" w:rsidR="004A4516" w:rsidRPr="00E01176" w:rsidRDefault="00E01176" w:rsidP="00E33AEB">
      <w:pPr>
        <w:pStyle w:val="H2"/>
        <w:spacing w:before="240" w:after="300" w:line="240" w:lineRule="exact"/>
      </w:pPr>
      <w:r w:rsidRPr="00E01176">
        <w:t>Recognition</w:t>
      </w: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Ranked Band 4 in Nationwide Real Estate 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CHAMBERS USA, 2021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A leading Tier 2 practice in the United States for Real Estate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U.S. NEWS &amp; WORLD REPORT, 2021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Ranked Band 1 in Georgia Real Estate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CHAMBERS  USA, 2021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0CF5299C" w14:textId="77777777" w:rsidR="00E01176" w:rsidRPr="00E01176" w:rsidRDefault="00E01176" w:rsidP="00093FA0">
      <w:pPr>
        <w:pStyle w:val="H2"/>
        <w:spacing w:before="240"/>
      </w:pPr>
      <w:r w:rsidRPr="00E01176">
        <w:t>Cases &amp; Deals</w:t>
      </w:r>
    </w:p>
    <w:p w14:paraId="1FCBF42B" w14:textId="77777777" w:rsidR="001C65B2" w:rsidRPr="00897632" w:rsidRDefault="001C65B2" w:rsidP="001C65B2">
      <w:pPr>
        <w:pStyle w:val="Details"/>
        <w:spacing w:after="0"/>
        <w:rPr>
          <w:rFonts w:ascii="Arial" w:hAnsi="Arial" w:cs="Arial"/>
          <w:i/>
        </w:rPr>
      </w:pPr>
      <w:r w:rsidRPr="00897632">
        <w:rPr>
          <w:rFonts w:ascii="Arial" w:hAnsi="Arial" w:cs="Arial"/>
          <w:i/>
          <w:noProof/>
        </w:rPr>
        <w:t>2024-03-20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HCM Acquisition Corp Closes de-SPAC with Murano Global Investments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FCBF42B" w14:textId="77777777" w:rsidR="001C65B2" w:rsidRPr="00897632" w:rsidRDefault="001C65B2" w:rsidP="001C65B2">
      <w:pPr>
        <w:pStyle w:val="Details"/>
        <w:spacing w:after="0"/>
        <w:rPr>
          <w:rFonts w:ascii="Arial" w:hAnsi="Arial" w:cs="Arial"/>
          <w:i/>
        </w:rPr>
      </w:pPr>
      <w:r w:rsidRPr="00897632">
        <w:rPr>
          <w:rFonts w:ascii="Arial" w:hAnsi="Arial" w:cs="Arial"/>
          <w:i/>
          <w:noProof/>
        </w:rPr>
        <w:t>2023-12-11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Piedmont Office Realty Trust Completes $200 Million Senior Notes Offering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FCBF42B" w14:textId="77777777" w:rsidR="001C65B2" w:rsidRPr="00897632" w:rsidRDefault="001C65B2" w:rsidP="001C65B2">
      <w:pPr>
        <w:pStyle w:val="Details"/>
        <w:spacing w:after="0"/>
        <w:rPr>
          <w:rFonts w:ascii="Arial" w:hAnsi="Arial" w:cs="Arial"/>
          <w:i/>
        </w:rPr>
      </w:pPr>
      <w:r w:rsidRPr="00897632">
        <w:rPr>
          <w:rFonts w:ascii="Arial" w:hAnsi="Arial" w:cs="Arial"/>
          <w:i/>
          <w:noProof/>
        </w:rPr>
        <w:t>2023-09-22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King &amp; Spalding advises Saudi Fransi Capital on Innovative PPP Real Estate Fund to Develop King Salman Park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796A122F" w14:textId="06CD58E6" w:rsidR="00FE62DB" w:rsidRPr="00907A96" w:rsidRDefault="00D62D6B" w:rsidP="003A30E8">
      <w:pPr>
        <w:pStyle w:val="LawyerCity"/>
        <w:spacing w:before="100" w:beforeAutospacing="1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2B020" wp14:editId="4AF01B72">
                <wp:simplePos x="0" y="0"/>
                <wp:positionH relativeFrom="column">
                  <wp:posOffset>2540</wp:posOffset>
                </wp:positionH>
                <wp:positionV relativeFrom="paragraph">
                  <wp:posOffset>270510</wp:posOffset>
                </wp:positionV>
                <wp:extent cx="594360" cy="2540"/>
                <wp:effectExtent l="12700" t="12700" r="1524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D779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1.3pt" to="47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4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  <w:r w:rsidR="00FE62DB" w:rsidRPr="00907A96">
        <w:rPr>
          <w:rFonts w:cs="Times New Roman (Body CS)"/>
          <w:noProof/>
          <w:color w:val="F96800" w:themeColor="accent1"/>
          <w:position w:val="12"/>
          <w:sz w:val="20"/>
          <w:szCs w:val="20"/>
        </w:rPr>
        <w:t xml:space="preserve"> </w:t>
      </w:r>
    </w:p>
    <w:p w14:paraId="63DA54A6" w14:textId="77777777" w:rsidR="00E01176" w:rsidRPr="00E01176" w:rsidRDefault="00E01176" w:rsidP="00777C77">
      <w:pPr>
        <w:pStyle w:val="H2"/>
      </w:pPr>
      <w:r w:rsidRPr="00E01176">
        <w:t>Insights</w:t>
      </w: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Client Alert</w:t>
      </w:r>
    </w:p>
    <w:p w14:paraId="4324D80E" w14:textId="77777777" w:rsidR="0046190E" w:rsidRPr="00654564" w:rsidRDefault="0046190E" w:rsidP="0046190E">
      <w:pPr>
        <w:pStyle w:val="Details"/>
        <w:spacing w:after="0"/>
        <w:rPr>
          <w:rFonts w:ascii="Arial" w:hAnsi="Arial" w:cs="Arial"/>
          <w:i/>
        </w:rPr>
      </w:pPr>
      <w:r w:rsidRPr="00654564">
        <w:rPr>
          <w:rFonts w:ascii="Arial" w:hAnsi="Arial" w:cs="Arial"/>
          <w:i/>
          <w:noProof/>
        </w:rPr>
        <w:t>2024-02-29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FinCEN Proposes Rule to Target High Risk Residential Real Estate Transfers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Article</w:t>
      </w:r>
    </w:p>
    <w:p w14:paraId="4324D80E" w14:textId="77777777" w:rsidR="0046190E" w:rsidRPr="00654564" w:rsidRDefault="0046190E" w:rsidP="0046190E">
      <w:pPr>
        <w:pStyle w:val="Details"/>
        <w:spacing w:after="0"/>
        <w:rPr>
          <w:rFonts w:ascii="Arial" w:hAnsi="Arial" w:cs="Arial"/>
          <w:i/>
        </w:rPr>
      </w:pPr>
      <w:r w:rsidRPr="00654564">
        <w:rPr>
          <w:rFonts w:ascii="Arial" w:hAnsi="Arial" w:cs="Arial"/>
          <w:i/>
          <w:noProof/>
        </w:rPr>
        <w:t>2024-02-13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Real Estate Market in Crisis: Further Reform of the Investment Laws is Urgently Necessary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Client Alert</w:t>
      </w:r>
    </w:p>
    <w:p w14:paraId="4324D80E" w14:textId="77777777" w:rsidR="0046190E" w:rsidRPr="00654564" w:rsidRDefault="0046190E" w:rsidP="0046190E">
      <w:pPr>
        <w:pStyle w:val="Details"/>
        <w:spacing w:after="0"/>
        <w:rPr>
          <w:rFonts w:ascii="Arial" w:hAnsi="Arial" w:cs="Arial"/>
          <w:i/>
        </w:rPr>
      </w:pPr>
      <w:r w:rsidRPr="00654564">
        <w:rPr>
          <w:rFonts w:ascii="Arial" w:hAnsi="Arial" w:cs="Arial"/>
          <w:i/>
          <w:noProof/>
        </w:rPr>
        <w:t>2024-02-06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ELTIF 2 - Opportunities and Shortcomings: BaFin publishes an FAQ on the amended ELTIF Regulation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685C2BB6" w14:textId="521F4753" w:rsidR="007922E2" w:rsidRPr="00C46749" w:rsidRDefault="00D62D6B" w:rsidP="007922E2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E860A" wp14:editId="4A7DF8FC">
                <wp:simplePos x="0" y="0"/>
                <wp:positionH relativeFrom="column">
                  <wp:posOffset>6350</wp:posOffset>
                </wp:positionH>
                <wp:positionV relativeFrom="paragraph">
                  <wp:posOffset>266065</wp:posOffset>
                </wp:positionV>
                <wp:extent cx="594360" cy="2540"/>
                <wp:effectExtent l="12700" t="12700" r="1524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253E2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0.95pt" to="47.3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5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  <w:r w:rsidR="007922E2" w:rsidRPr="00C46749">
        <w:rPr>
          <w:rFonts w:cs="Times New Roman (Body CS)"/>
          <w:noProof/>
          <w:color w:val="F96800" w:themeColor="accent1"/>
          <w:position w:val="12"/>
          <w:sz w:val="20"/>
          <w:szCs w:val="20"/>
        </w:rPr>
        <w:t xml:space="preserve"> </w:t>
      </w:r>
    </w:p>
    <w:p w14:paraId="6E11FD99" w14:textId="77777777" w:rsidR="00E01176" w:rsidRPr="00E01176" w:rsidRDefault="00E01176" w:rsidP="002844C0">
      <w:pPr>
        <w:pStyle w:val="H2"/>
      </w:pPr>
      <w:r w:rsidRPr="00E01176">
        <w:t>Events</w:t>
      </w: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Speaking Engagement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2024-04-25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Karl Heisler to Speak at University of Hawaii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Speaking Engagement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2024-04-17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Thad Wilson to Speak at the Information Management Network’s Distressed CRE West Forum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Speaking Engagement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2023-11-30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Cüneyt Andac to Speak at ESG Conference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537353EB" w14:textId="2862D4CC" w:rsidR="00FE496D" w:rsidRDefault="00D62D6B" w:rsidP="009A32DD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388D9" wp14:editId="72169099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94360" cy="2540"/>
                <wp:effectExtent l="12700" t="1270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0AC2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95pt" to="46.8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6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045FD757" w14:textId="77777777" w:rsidR="001D1504" w:rsidRPr="00455B38" w:rsidRDefault="001D1504" w:rsidP="00E856B9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25B6CBBA" w14:textId="437A5014" w:rsidR="00E01176" w:rsidRPr="00E01176" w:rsidRDefault="00E01176" w:rsidP="00C44949">
      <w:pPr>
        <w:pStyle w:val="H2"/>
        <w:spacing w:before="240"/>
      </w:pPr>
      <w:r w:rsidRPr="00E01176">
        <w:t>News</w:t>
      </w: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Recognition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2024-02-19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Legal 500 Deutschland 2024 Ranks King &amp; Spalding Among Germany’s Leading Law Firms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Recognition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2024-02-16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King &amp; Spalding Earns Strong Rankings in Chambers Global 2024 Guide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Recognition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2024-01-17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Legal 500 Asia-Pacific 2024 Recognizes King &amp; Spalding Among Region’s Top Law Firms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37011A0" w14:textId="2AD017F3" w:rsidR="00C60492" w:rsidRPr="00340CEC" w:rsidRDefault="00D62D6B" w:rsidP="00C60492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8278F" wp14:editId="563342B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94360" cy="2540"/>
                <wp:effectExtent l="12700" t="12700" r="15240" b="228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2795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5pt" to="46.8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7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6DE4F8B9" w14:textId="385796D1" w:rsidR="00B13647" w:rsidRPr="00B13647" w:rsidRDefault="00B13647" w:rsidP="00F21DCE">
      <w:pPr>
        <w:pStyle w:val="Details"/>
        <w:rPr>
          <w:color w:val="F96800" w:themeColor="accent1"/>
          <w:sz w:val="20"/>
          <w:szCs w:val="20"/>
        </w:rPr>
      </w:pPr>
    </w:p>
    <w:sectPr w:rsidR="002604A6" w:rsidSect="00A9734E">
      <w:footerReference w:type="default" r:id="rId8"/>
      <w:headerReference w:type="first" r:id="rId9"/>
      <w:footerReference w:type="first" r:id="rId10"/>
      <w:pgSz w:w="12240" w:h="15840" w:code="1"/>
      <w:pgMar w:top="2074" w:right="1166" w:bottom="144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238" w14:textId="77777777" w:rsidR="00BD679C" w:rsidRDefault="00BD679C" w:rsidP="00A9734E">
      <w:pPr>
        <w:spacing w:after="0" w:line="240" w:lineRule="auto"/>
      </w:pPr>
      <w:r>
        <w:separator/>
      </w:r>
    </w:p>
  </w:endnote>
  <w:endnote w:type="continuationSeparator" w:id="0">
    <w:p w14:paraId="5D0E24E5" w14:textId="77777777" w:rsidR="00BD679C" w:rsidRDefault="00BD679C" w:rsidP="00A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C3D" w14:textId="77777777" w:rsidR="00B55CBD" w:rsidRPr="00B55CBD" w:rsidRDefault="00B55CBD" w:rsidP="00B55CBD">
    <w:pPr>
      <w:pStyle w:val="Footer"/>
    </w:pPr>
    <w:r w:rsidRPr="00B55CBD">
      <w:t>www.kslaw.com</w:t>
    </w:r>
    <w:r w:rsidRPr="00B55CBD">
      <w:tab/>
    </w:r>
    <w:r w:rsidRPr="00B55CBD">
      <w:fldChar w:fldCharType="begin"/>
    </w:r>
    <w:r w:rsidRPr="00B55CBD">
      <w:instrText xml:space="preserve"> PAGE   \* MERGEFORMAT </w:instrText>
    </w:r>
    <w:r w:rsidRPr="00B55CBD">
      <w:fldChar w:fldCharType="separate"/>
    </w:r>
    <w:r w:rsidR="00494B57">
      <w:rPr>
        <w:noProof/>
      </w:rPr>
      <w:t>2</w:t>
    </w:r>
    <w:r w:rsidRPr="00B55CB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A1F9" w14:textId="77777777" w:rsidR="00A9734E" w:rsidRPr="00B55CBD" w:rsidRDefault="00A9734E" w:rsidP="00B55CBD">
    <w:pPr>
      <w:pStyle w:val="Footer"/>
    </w:pPr>
    <w:r w:rsidRPr="00B55CBD">
      <w:t>www.kslaw.com</w:t>
    </w:r>
    <w:r w:rsidRPr="00B55CBD">
      <w:tab/>
    </w:r>
    <w:r w:rsidRPr="00B55CBD">
      <w:fldChar w:fldCharType="begin"/>
    </w:r>
    <w:r w:rsidRPr="00B55CBD">
      <w:instrText xml:space="preserve"> PAGE   \* MERGEFORMAT </w:instrText>
    </w:r>
    <w:r w:rsidRPr="00B55CBD">
      <w:fldChar w:fldCharType="separate"/>
    </w:r>
    <w:r w:rsidR="007D695E">
      <w:rPr>
        <w:noProof/>
      </w:rPr>
      <w:t>1</w:t>
    </w:r>
    <w:r w:rsidRPr="00B55C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9F8" w14:textId="77777777" w:rsidR="00BD679C" w:rsidRDefault="00BD679C" w:rsidP="00A9734E">
      <w:pPr>
        <w:spacing w:after="0" w:line="240" w:lineRule="auto"/>
      </w:pPr>
      <w:r>
        <w:separator/>
      </w:r>
    </w:p>
  </w:footnote>
  <w:footnote w:type="continuationSeparator" w:id="0">
    <w:p w14:paraId="180A5213" w14:textId="77777777" w:rsidR="00BD679C" w:rsidRDefault="00BD679C" w:rsidP="00A9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D3E9" w14:textId="7B2BE22E" w:rsidR="001B06FF" w:rsidRDefault="003E5F64">
    <w:pPr>
      <w:pStyle w:val="Header"/>
    </w:pPr>
    <w:r>
      <w:rPr>
        <w:noProof/>
      </w:rPr>
      <w:drawing>
        <wp:inline distT="0" distB="0" distL="0" distR="0" wp14:anchorId="4B80785B" wp14:editId="544B96FE">
          <wp:extent cx="1191669" cy="459926"/>
          <wp:effectExtent l="0" t="0" r="254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669" cy="4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18F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0E82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682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2A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A82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00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C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C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C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1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05C56"/>
    <w:multiLevelType w:val="hybridMultilevel"/>
    <w:tmpl w:val="78002D32"/>
    <w:lvl w:ilvl="0" w:tplc="75DAC0B6">
      <w:start w:val="1"/>
      <w:numFmt w:val="bullet"/>
      <w:pStyle w:val="Tex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669A"/>
    <w:multiLevelType w:val="hybridMultilevel"/>
    <w:tmpl w:val="CFA45D0A"/>
    <w:lvl w:ilvl="0" w:tplc="33A815B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90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9646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4D7A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000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A31ABC"/>
    <w:multiLevelType w:val="hybridMultilevel"/>
    <w:tmpl w:val="B5E494FA"/>
    <w:lvl w:ilvl="0" w:tplc="90185CCE">
      <w:start w:val="1"/>
      <w:numFmt w:val="bullet"/>
      <w:pStyle w:val="ListBullet"/>
      <w:lvlText w:val=" "/>
      <w:lvlJc w:val="left"/>
      <w:pPr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9B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8FE01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multiLevelType w:val="hybridMultilevel"/>
    <w:tmpl w:val="B5E494FA"/>
    <w:lvl w:ilvl="0" w:tplc="90185CCE">
      <w:start w:val="1"/>
      <w:numFmt w:val="bullet"/>
      <w:pStyle w:val="ListBullet"/>
      <w:lvlText w:val=" "/>
      <w:lvlJc w:val="left"/>
      <w:pPr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64"/>
    <w:rsid w:val="00006203"/>
    <w:rsid w:val="000306D1"/>
    <w:rsid w:val="00030812"/>
    <w:rsid w:val="000505ED"/>
    <w:rsid w:val="00050685"/>
    <w:rsid w:val="00052F54"/>
    <w:rsid w:val="0007042B"/>
    <w:rsid w:val="00073E68"/>
    <w:rsid w:val="00081718"/>
    <w:rsid w:val="0008567A"/>
    <w:rsid w:val="00086F27"/>
    <w:rsid w:val="000916D3"/>
    <w:rsid w:val="00093FA0"/>
    <w:rsid w:val="000A3698"/>
    <w:rsid w:val="000B37DE"/>
    <w:rsid w:val="000B6C90"/>
    <w:rsid w:val="000B7045"/>
    <w:rsid w:val="000C338D"/>
    <w:rsid w:val="000D2758"/>
    <w:rsid w:val="000D556B"/>
    <w:rsid w:val="000D642F"/>
    <w:rsid w:val="0010255A"/>
    <w:rsid w:val="001065DC"/>
    <w:rsid w:val="001078D7"/>
    <w:rsid w:val="00112F46"/>
    <w:rsid w:val="00116D3F"/>
    <w:rsid w:val="0012061D"/>
    <w:rsid w:val="00145260"/>
    <w:rsid w:val="00150C66"/>
    <w:rsid w:val="00177B76"/>
    <w:rsid w:val="001851C6"/>
    <w:rsid w:val="001963CF"/>
    <w:rsid w:val="001B06FF"/>
    <w:rsid w:val="001B465D"/>
    <w:rsid w:val="001B5C17"/>
    <w:rsid w:val="001B6665"/>
    <w:rsid w:val="001C65B2"/>
    <w:rsid w:val="001D1504"/>
    <w:rsid w:val="001E289D"/>
    <w:rsid w:val="001E358B"/>
    <w:rsid w:val="00201116"/>
    <w:rsid w:val="00203AB2"/>
    <w:rsid w:val="00207B50"/>
    <w:rsid w:val="00210DB0"/>
    <w:rsid w:val="002163E4"/>
    <w:rsid w:val="002248C6"/>
    <w:rsid w:val="002254CD"/>
    <w:rsid w:val="0025705F"/>
    <w:rsid w:val="0026019C"/>
    <w:rsid w:val="002604A6"/>
    <w:rsid w:val="00260525"/>
    <w:rsid w:val="00272C94"/>
    <w:rsid w:val="00275180"/>
    <w:rsid w:val="00276E21"/>
    <w:rsid w:val="002844C0"/>
    <w:rsid w:val="00284E0A"/>
    <w:rsid w:val="002858BF"/>
    <w:rsid w:val="002937D0"/>
    <w:rsid w:val="002A70DE"/>
    <w:rsid w:val="002A7419"/>
    <w:rsid w:val="002A7AF6"/>
    <w:rsid w:val="002C2FC6"/>
    <w:rsid w:val="002C35DB"/>
    <w:rsid w:val="002C740F"/>
    <w:rsid w:val="002D778C"/>
    <w:rsid w:val="002E4568"/>
    <w:rsid w:val="00306A14"/>
    <w:rsid w:val="00340CEC"/>
    <w:rsid w:val="00360D48"/>
    <w:rsid w:val="0036265B"/>
    <w:rsid w:val="00365F39"/>
    <w:rsid w:val="00374FA8"/>
    <w:rsid w:val="00375183"/>
    <w:rsid w:val="00384701"/>
    <w:rsid w:val="0038699B"/>
    <w:rsid w:val="003A30E8"/>
    <w:rsid w:val="003A318F"/>
    <w:rsid w:val="003C0521"/>
    <w:rsid w:val="003E3A5A"/>
    <w:rsid w:val="003E5F64"/>
    <w:rsid w:val="003F0E28"/>
    <w:rsid w:val="003F3764"/>
    <w:rsid w:val="003F6961"/>
    <w:rsid w:val="00405EC9"/>
    <w:rsid w:val="00407FE5"/>
    <w:rsid w:val="004216AE"/>
    <w:rsid w:val="004249A6"/>
    <w:rsid w:val="00425048"/>
    <w:rsid w:val="00426D3A"/>
    <w:rsid w:val="00442816"/>
    <w:rsid w:val="00452C4F"/>
    <w:rsid w:val="00457B89"/>
    <w:rsid w:val="0046190E"/>
    <w:rsid w:val="004812D5"/>
    <w:rsid w:val="00484BEC"/>
    <w:rsid w:val="00490C58"/>
    <w:rsid w:val="00494B57"/>
    <w:rsid w:val="004A4516"/>
    <w:rsid w:val="004A47D0"/>
    <w:rsid w:val="004C036F"/>
    <w:rsid w:val="004D1579"/>
    <w:rsid w:val="004E083F"/>
    <w:rsid w:val="004E48A0"/>
    <w:rsid w:val="004F5EC3"/>
    <w:rsid w:val="00503DEF"/>
    <w:rsid w:val="00504DEC"/>
    <w:rsid w:val="00515EDA"/>
    <w:rsid w:val="0052257A"/>
    <w:rsid w:val="00523579"/>
    <w:rsid w:val="00530DCD"/>
    <w:rsid w:val="00534055"/>
    <w:rsid w:val="00543ECC"/>
    <w:rsid w:val="00543EE0"/>
    <w:rsid w:val="00570512"/>
    <w:rsid w:val="00584F1A"/>
    <w:rsid w:val="00586DBD"/>
    <w:rsid w:val="00592F2A"/>
    <w:rsid w:val="00594064"/>
    <w:rsid w:val="005A487E"/>
    <w:rsid w:val="005B0A2B"/>
    <w:rsid w:val="005D2288"/>
    <w:rsid w:val="00601277"/>
    <w:rsid w:val="00605484"/>
    <w:rsid w:val="00605E6A"/>
    <w:rsid w:val="00606166"/>
    <w:rsid w:val="0061110E"/>
    <w:rsid w:val="00613D6B"/>
    <w:rsid w:val="00617F3A"/>
    <w:rsid w:val="00631471"/>
    <w:rsid w:val="006365A5"/>
    <w:rsid w:val="00641A5E"/>
    <w:rsid w:val="00654564"/>
    <w:rsid w:val="0066312E"/>
    <w:rsid w:val="00665003"/>
    <w:rsid w:val="0067003D"/>
    <w:rsid w:val="0069187F"/>
    <w:rsid w:val="006A1C83"/>
    <w:rsid w:val="006A7E5A"/>
    <w:rsid w:val="006B7E4C"/>
    <w:rsid w:val="006C5CA8"/>
    <w:rsid w:val="006D1037"/>
    <w:rsid w:val="006D1431"/>
    <w:rsid w:val="006D470B"/>
    <w:rsid w:val="006D7FA1"/>
    <w:rsid w:val="006E5AC1"/>
    <w:rsid w:val="006F019C"/>
    <w:rsid w:val="006F1D72"/>
    <w:rsid w:val="00712FB2"/>
    <w:rsid w:val="00720F6A"/>
    <w:rsid w:val="00747B48"/>
    <w:rsid w:val="007509A8"/>
    <w:rsid w:val="00751D60"/>
    <w:rsid w:val="00757106"/>
    <w:rsid w:val="00761138"/>
    <w:rsid w:val="007633A3"/>
    <w:rsid w:val="00765727"/>
    <w:rsid w:val="00777C77"/>
    <w:rsid w:val="007922E2"/>
    <w:rsid w:val="007B101C"/>
    <w:rsid w:val="007B4AB3"/>
    <w:rsid w:val="007B52F5"/>
    <w:rsid w:val="007C327F"/>
    <w:rsid w:val="007C35FD"/>
    <w:rsid w:val="007D695E"/>
    <w:rsid w:val="007E3DE1"/>
    <w:rsid w:val="007E7C75"/>
    <w:rsid w:val="007F314D"/>
    <w:rsid w:val="008038F3"/>
    <w:rsid w:val="008050A6"/>
    <w:rsid w:val="00815AAC"/>
    <w:rsid w:val="008563AE"/>
    <w:rsid w:val="00862F41"/>
    <w:rsid w:val="00863750"/>
    <w:rsid w:val="00865102"/>
    <w:rsid w:val="00870844"/>
    <w:rsid w:val="00870B8A"/>
    <w:rsid w:val="008750E8"/>
    <w:rsid w:val="00897632"/>
    <w:rsid w:val="008A0194"/>
    <w:rsid w:val="008A1E51"/>
    <w:rsid w:val="008A2413"/>
    <w:rsid w:val="008A71B2"/>
    <w:rsid w:val="008C5A4F"/>
    <w:rsid w:val="008C7F03"/>
    <w:rsid w:val="008D7FB4"/>
    <w:rsid w:val="008F0925"/>
    <w:rsid w:val="008F17BB"/>
    <w:rsid w:val="008F26A6"/>
    <w:rsid w:val="00904235"/>
    <w:rsid w:val="00907A96"/>
    <w:rsid w:val="00915F4F"/>
    <w:rsid w:val="00923592"/>
    <w:rsid w:val="0092645C"/>
    <w:rsid w:val="00933C41"/>
    <w:rsid w:val="00943BAB"/>
    <w:rsid w:val="009655C3"/>
    <w:rsid w:val="0097368B"/>
    <w:rsid w:val="009816A0"/>
    <w:rsid w:val="009A32DD"/>
    <w:rsid w:val="009B09A6"/>
    <w:rsid w:val="009C2AFD"/>
    <w:rsid w:val="009C6913"/>
    <w:rsid w:val="009D3B52"/>
    <w:rsid w:val="009D4755"/>
    <w:rsid w:val="009D603A"/>
    <w:rsid w:val="009E63D1"/>
    <w:rsid w:val="009E6FAA"/>
    <w:rsid w:val="009E7277"/>
    <w:rsid w:val="009F20A5"/>
    <w:rsid w:val="00A06A76"/>
    <w:rsid w:val="00A16332"/>
    <w:rsid w:val="00A27AD4"/>
    <w:rsid w:val="00A369DD"/>
    <w:rsid w:val="00A52065"/>
    <w:rsid w:val="00A53583"/>
    <w:rsid w:val="00A67EA9"/>
    <w:rsid w:val="00A71FD7"/>
    <w:rsid w:val="00A75A1F"/>
    <w:rsid w:val="00A86054"/>
    <w:rsid w:val="00A86346"/>
    <w:rsid w:val="00A86C1C"/>
    <w:rsid w:val="00A91B30"/>
    <w:rsid w:val="00A9734E"/>
    <w:rsid w:val="00AA2CEA"/>
    <w:rsid w:val="00AA726E"/>
    <w:rsid w:val="00AB6CA4"/>
    <w:rsid w:val="00AC0161"/>
    <w:rsid w:val="00AD0AB9"/>
    <w:rsid w:val="00AD11BB"/>
    <w:rsid w:val="00AD6FD7"/>
    <w:rsid w:val="00AE0BE7"/>
    <w:rsid w:val="00AE2BD1"/>
    <w:rsid w:val="00AE2F9E"/>
    <w:rsid w:val="00AE4D3C"/>
    <w:rsid w:val="00AE5BD7"/>
    <w:rsid w:val="00AF1F72"/>
    <w:rsid w:val="00AF3D57"/>
    <w:rsid w:val="00AF7D06"/>
    <w:rsid w:val="00B0467B"/>
    <w:rsid w:val="00B111C4"/>
    <w:rsid w:val="00B13647"/>
    <w:rsid w:val="00B25DA9"/>
    <w:rsid w:val="00B25EA2"/>
    <w:rsid w:val="00B278C2"/>
    <w:rsid w:val="00B27CF9"/>
    <w:rsid w:val="00B36165"/>
    <w:rsid w:val="00B44A99"/>
    <w:rsid w:val="00B55CBD"/>
    <w:rsid w:val="00B665A0"/>
    <w:rsid w:val="00B71530"/>
    <w:rsid w:val="00B76DFC"/>
    <w:rsid w:val="00B83C06"/>
    <w:rsid w:val="00B90967"/>
    <w:rsid w:val="00B95D2C"/>
    <w:rsid w:val="00BB666E"/>
    <w:rsid w:val="00BD358B"/>
    <w:rsid w:val="00BD6085"/>
    <w:rsid w:val="00BD679C"/>
    <w:rsid w:val="00BD7A18"/>
    <w:rsid w:val="00BE1064"/>
    <w:rsid w:val="00BF0662"/>
    <w:rsid w:val="00C04DE7"/>
    <w:rsid w:val="00C25A0A"/>
    <w:rsid w:val="00C409BD"/>
    <w:rsid w:val="00C4482B"/>
    <w:rsid w:val="00C44949"/>
    <w:rsid w:val="00C46749"/>
    <w:rsid w:val="00C51040"/>
    <w:rsid w:val="00C60492"/>
    <w:rsid w:val="00C61CFF"/>
    <w:rsid w:val="00C66B4E"/>
    <w:rsid w:val="00C72A97"/>
    <w:rsid w:val="00C74054"/>
    <w:rsid w:val="00C76F9C"/>
    <w:rsid w:val="00C943E4"/>
    <w:rsid w:val="00CB0D2B"/>
    <w:rsid w:val="00CB71EA"/>
    <w:rsid w:val="00CC0315"/>
    <w:rsid w:val="00CC12F1"/>
    <w:rsid w:val="00CD0920"/>
    <w:rsid w:val="00CE6218"/>
    <w:rsid w:val="00CF7FE8"/>
    <w:rsid w:val="00D46221"/>
    <w:rsid w:val="00D468B2"/>
    <w:rsid w:val="00D47CDB"/>
    <w:rsid w:val="00D62D6B"/>
    <w:rsid w:val="00D85EB8"/>
    <w:rsid w:val="00D91062"/>
    <w:rsid w:val="00D955E9"/>
    <w:rsid w:val="00DC4304"/>
    <w:rsid w:val="00DD093F"/>
    <w:rsid w:val="00DD7F4E"/>
    <w:rsid w:val="00E01176"/>
    <w:rsid w:val="00E012A9"/>
    <w:rsid w:val="00E124F0"/>
    <w:rsid w:val="00E20CEE"/>
    <w:rsid w:val="00E24B3E"/>
    <w:rsid w:val="00E26F4F"/>
    <w:rsid w:val="00E31C96"/>
    <w:rsid w:val="00E33AEB"/>
    <w:rsid w:val="00E37101"/>
    <w:rsid w:val="00E41423"/>
    <w:rsid w:val="00E415CB"/>
    <w:rsid w:val="00E4290B"/>
    <w:rsid w:val="00E46583"/>
    <w:rsid w:val="00E539CD"/>
    <w:rsid w:val="00E57EB9"/>
    <w:rsid w:val="00E7606B"/>
    <w:rsid w:val="00E856B9"/>
    <w:rsid w:val="00E95A60"/>
    <w:rsid w:val="00ED296F"/>
    <w:rsid w:val="00ED4F9A"/>
    <w:rsid w:val="00EE77B2"/>
    <w:rsid w:val="00EF3402"/>
    <w:rsid w:val="00EF4B83"/>
    <w:rsid w:val="00F02354"/>
    <w:rsid w:val="00F10F45"/>
    <w:rsid w:val="00F11B76"/>
    <w:rsid w:val="00F20291"/>
    <w:rsid w:val="00F21DCE"/>
    <w:rsid w:val="00F232E3"/>
    <w:rsid w:val="00F365F4"/>
    <w:rsid w:val="00F37A98"/>
    <w:rsid w:val="00F5506A"/>
    <w:rsid w:val="00F563CC"/>
    <w:rsid w:val="00F61BEC"/>
    <w:rsid w:val="00F634A6"/>
    <w:rsid w:val="00F76F01"/>
    <w:rsid w:val="00F86CBA"/>
    <w:rsid w:val="00F87DED"/>
    <w:rsid w:val="00FA13DB"/>
    <w:rsid w:val="00FA34B8"/>
    <w:rsid w:val="00FB1D86"/>
    <w:rsid w:val="00FB4109"/>
    <w:rsid w:val="00FC1C14"/>
    <w:rsid w:val="00FD3C1D"/>
    <w:rsid w:val="00FE496D"/>
    <w:rsid w:val="00FE5772"/>
    <w:rsid w:val="00FE62DB"/>
    <w:rsid w:val="00FF4E1A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1D95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F9C"/>
    <w:rPr>
      <w:rFonts w:ascii="Times New Roman" w:hAnsi="Times New Roman"/>
      <w:color w:val="483733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AB2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BA4D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E"/>
  </w:style>
  <w:style w:type="paragraph" w:styleId="Footer">
    <w:name w:val="footer"/>
    <w:basedOn w:val="Normal"/>
    <w:link w:val="FooterChar"/>
    <w:uiPriority w:val="99"/>
    <w:unhideWhenUsed/>
    <w:rsid w:val="008C5A4F"/>
    <w:pPr>
      <w:tabs>
        <w:tab w:val="right" w:pos="9900"/>
      </w:tabs>
      <w:suppressAutoHyphens/>
      <w:spacing w:after="0" w:line="240" w:lineRule="auto"/>
    </w:pPr>
    <w:rPr>
      <w:color w:val="969696"/>
      <w:kern w:val="8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C5A4F"/>
    <w:rPr>
      <w:color w:val="969696"/>
      <w:kern w:val="8"/>
      <w:sz w:val="20"/>
    </w:rPr>
  </w:style>
  <w:style w:type="character" w:styleId="Hyperlink">
    <w:name w:val="Hyperlink"/>
    <w:basedOn w:val="DefaultParagraphFont"/>
    <w:uiPriority w:val="99"/>
    <w:unhideWhenUsed/>
    <w:rsid w:val="002A7AF6"/>
    <w:rPr>
      <w:rFonts w:ascii="Arial" w:hAnsi="Arial"/>
      <w:color w:val="F96800" w:themeColor="accent1"/>
      <w:sz w:val="20"/>
      <w:u w:val="none"/>
    </w:rPr>
  </w:style>
  <w:style w:type="character" w:styleId="Mention">
    <w:name w:val="Mention"/>
    <w:basedOn w:val="DefaultParagraphFont"/>
    <w:uiPriority w:val="99"/>
    <w:semiHidden/>
    <w:unhideWhenUsed/>
    <w:rsid w:val="00A9734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3AB2"/>
    <w:rPr>
      <w:rFonts w:asciiTheme="majorHAnsi" w:eastAsiaTheme="majorEastAsia" w:hAnsiTheme="majorHAnsi" w:cstheme="majorBidi"/>
      <w:color w:val="BA4D00" w:themeColor="accent1" w:themeShade="BF"/>
      <w:sz w:val="32"/>
      <w:szCs w:val="32"/>
    </w:rPr>
  </w:style>
  <w:style w:type="paragraph" w:customStyle="1" w:styleId="Body">
    <w:name w:val="Body"/>
    <w:basedOn w:val="Normal"/>
    <w:qFormat/>
    <w:rsid w:val="00203AB2"/>
    <w:pPr>
      <w:suppressAutoHyphens/>
      <w:spacing w:after="240" w:line="360" w:lineRule="exact"/>
    </w:pPr>
    <w:rPr>
      <w:kern w:val="8"/>
      <w:sz w:val="18"/>
    </w:rPr>
  </w:style>
  <w:style w:type="paragraph" w:customStyle="1" w:styleId="Intro">
    <w:name w:val="Intro"/>
    <w:basedOn w:val="Body"/>
    <w:qFormat/>
    <w:rsid w:val="00A53583"/>
    <w:pPr>
      <w:spacing w:before="300" w:after="300" w:line="420" w:lineRule="exact"/>
    </w:pPr>
    <w:rPr>
      <w:sz w:val="32"/>
      <w14:ligatures w14:val="standard"/>
    </w:rPr>
  </w:style>
  <w:style w:type="paragraph" w:customStyle="1" w:styleId="H1">
    <w:name w:val="H1"/>
    <w:basedOn w:val="Body"/>
    <w:qFormat/>
    <w:rsid w:val="006F1D72"/>
    <w:pPr>
      <w:spacing w:after="120" w:line="580" w:lineRule="exact"/>
    </w:pPr>
    <w:rPr>
      <w:noProof/>
      <w:sz w:val="48"/>
      <w14:ligatures w14:val="standard"/>
    </w:rPr>
  </w:style>
  <w:style w:type="paragraph" w:customStyle="1" w:styleId="Position">
    <w:name w:val="Position"/>
    <w:basedOn w:val="Body"/>
    <w:qFormat/>
    <w:rsid w:val="006F1D72"/>
    <w:pPr>
      <w:spacing w:before="260" w:after="120" w:line="240" w:lineRule="exact"/>
      <w:contextualSpacing/>
    </w:pPr>
    <w:rPr>
      <w:sz w:val="16"/>
    </w:rPr>
  </w:style>
  <w:style w:type="paragraph" w:customStyle="1" w:styleId="Contact">
    <w:name w:val="Contact"/>
    <w:basedOn w:val="Position"/>
    <w:qFormat/>
    <w:rsid w:val="00B27CF9"/>
    <w:pPr>
      <w:spacing w:before="160"/>
    </w:pPr>
  </w:style>
  <w:style w:type="character" w:customStyle="1" w:styleId="Practice">
    <w:name w:val="Practice"/>
    <w:basedOn w:val="DefaultParagraphFont"/>
    <w:uiPriority w:val="1"/>
    <w:qFormat/>
    <w:rsid w:val="00B36165"/>
    <w:rPr>
      <w:i/>
    </w:rPr>
  </w:style>
  <w:style w:type="paragraph" w:customStyle="1" w:styleId="H2">
    <w:name w:val="H2"/>
    <w:basedOn w:val="H1"/>
    <w:qFormat/>
    <w:rsid w:val="00B27CF9"/>
    <w:pPr>
      <w:keepNext/>
      <w:keepLines/>
      <w:spacing w:before="580" w:after="200" w:line="420" w:lineRule="exact"/>
    </w:pPr>
    <w:rPr>
      <w:sz w:val="32"/>
    </w:rPr>
  </w:style>
  <w:style w:type="paragraph" w:customStyle="1" w:styleId="H3">
    <w:name w:val="H3"/>
    <w:basedOn w:val="H2"/>
    <w:qFormat/>
    <w:rsid w:val="00870844"/>
    <w:pPr>
      <w:spacing w:before="180" w:after="0" w:line="300" w:lineRule="exact"/>
    </w:pPr>
    <w:rPr>
      <w:rFonts w:ascii="Arial" w:hAnsi="Arial"/>
      <w:caps/>
      <w:color w:val="F96800" w:themeColor="accent1"/>
      <w:sz w:val="18"/>
      <w14:ligatures w14:val="none"/>
    </w:rPr>
  </w:style>
  <w:style w:type="paragraph" w:customStyle="1" w:styleId="Details">
    <w:name w:val="Details"/>
    <w:basedOn w:val="Body"/>
    <w:qFormat/>
    <w:rsid w:val="00B27CF9"/>
    <w:pPr>
      <w:spacing w:after="60" w:line="300" w:lineRule="exact"/>
    </w:pPr>
  </w:style>
  <w:style w:type="paragraph" w:customStyle="1" w:styleId="ListBullet">
    <w:name w:val="ListBullet"/>
    <w:basedOn w:val="Body"/>
    <w:next w:val="Body"/>
    <w:link w:val="ListBulletChar"/>
    <w:qFormat/>
    <w:rsid w:val="00F563CC"/>
    <w:pPr>
      <w:numPr>
        <w:numId w:val="7"/>
      </w:numPr>
    </w:pPr>
    <w:rPr>
      <w:sz w:val="22"/>
    </w:rPr>
  </w:style>
  <w:style w:type="paragraph" w:customStyle="1" w:styleId="RecognitionItem">
    <w:name w:val="Recognition Item"/>
    <w:basedOn w:val="H2"/>
    <w:qFormat/>
    <w:rsid w:val="00F634A6"/>
    <w:pPr>
      <w:spacing w:before="260" w:after="0" w:line="340" w:lineRule="exact"/>
    </w:pPr>
  </w:style>
  <w:style w:type="paragraph" w:customStyle="1" w:styleId="RecognitionSource">
    <w:name w:val="Recognition Source"/>
    <w:basedOn w:val="H3"/>
    <w:qFormat/>
    <w:rsid w:val="008563AE"/>
    <w:pPr>
      <w:keepNext w:val="0"/>
      <w:spacing w:before="0" w:after="240"/>
    </w:pPr>
    <w:rPr>
      <w:color w:val="7F7F7F" w:themeColor="text1" w:themeTint="80"/>
      <w:sz w:val="16"/>
      <w:szCs w:val="16"/>
    </w:rPr>
  </w:style>
  <w:style w:type="paragraph" w:customStyle="1" w:styleId="Rule">
    <w:name w:val="Rule"/>
    <w:basedOn w:val="Body"/>
    <w:qFormat/>
    <w:rsid w:val="00F634A6"/>
    <w:pPr>
      <w:keepNext/>
      <w:keepLines/>
      <w:spacing w:after="40" w:line="240" w:lineRule="exact"/>
    </w:pPr>
  </w:style>
  <w:style w:type="table" w:styleId="TableGrid">
    <w:name w:val="Table Grid"/>
    <w:basedOn w:val="TableNormal"/>
    <w:uiPriority w:val="39"/>
    <w:rsid w:val="00A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Date">
    <w:name w:val="Details Date"/>
    <w:basedOn w:val="Details"/>
    <w:qFormat/>
    <w:rsid w:val="001065DC"/>
    <w:pPr>
      <w:keepNext/>
      <w:keepLines/>
      <w:spacing w:after="0"/>
    </w:pPr>
    <w:rPr>
      <w:i/>
    </w:rPr>
  </w:style>
  <w:style w:type="paragraph" w:customStyle="1" w:styleId="ViewAll">
    <w:name w:val="View All"/>
    <w:basedOn w:val="H3"/>
    <w:qFormat/>
    <w:rsid w:val="008C5A4F"/>
    <w:pPr>
      <w:keepNext w:val="0"/>
      <w:spacing w:before="120"/>
    </w:pPr>
  </w:style>
  <w:style w:type="table" w:customStyle="1" w:styleId="ViewAllTable">
    <w:name w:val="View All Table"/>
    <w:basedOn w:val="TableNormal"/>
    <w:uiPriority w:val="99"/>
    <w:rsid w:val="002A7419"/>
    <w:pPr>
      <w:spacing w:after="0" w:line="240" w:lineRule="auto"/>
    </w:pPr>
    <w:tblPr>
      <w:tblBorders>
        <w:bottom w:val="single" w:sz="18" w:space="0" w:color="F96800" w:themeColor="accen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2"/>
    <w:rPr>
      <w:rFonts w:ascii="Segoe UI" w:hAnsi="Segoe UI" w:cs="Segoe UI"/>
      <w:sz w:val="18"/>
      <w:szCs w:val="18"/>
    </w:rPr>
  </w:style>
  <w:style w:type="paragraph" w:customStyle="1" w:styleId="Text">
    <w:name w:val="Text"/>
    <w:qFormat/>
    <w:rsid w:val="00933C41"/>
    <w:pPr>
      <w:keepLines/>
      <w:suppressAutoHyphens/>
      <w:spacing w:before="180" w:after="300" w:line="400" w:lineRule="exact"/>
    </w:pPr>
    <w:rPr>
      <w:rFonts w:ascii="Times New Roman" w:hAnsi="Times New Roman"/>
      <w:color w:val="483733" w:themeColor="text2"/>
      <w:kern w:val="8"/>
      <w:sz w:val="28"/>
      <w14:ligatures w14:val="standard"/>
    </w:rPr>
  </w:style>
  <w:style w:type="paragraph" w:customStyle="1" w:styleId="TextBullet">
    <w:name w:val="Text Bullet"/>
    <w:basedOn w:val="Text"/>
    <w:qFormat/>
    <w:rsid w:val="00E012A9"/>
    <w:pPr>
      <w:numPr>
        <w:numId w:val="2"/>
      </w:numPr>
      <w:ind w:left="240" w:hanging="240"/>
      <w:contextualSpacing/>
    </w:pPr>
  </w:style>
  <w:style w:type="paragraph" w:customStyle="1" w:styleId="LawyerName">
    <w:name w:val="Lawyer Name"/>
    <w:basedOn w:val="Details"/>
    <w:qFormat/>
    <w:rsid w:val="007633A3"/>
    <w:pPr>
      <w:spacing w:after="0" w:line="240" w:lineRule="exact"/>
    </w:pPr>
  </w:style>
  <w:style w:type="paragraph" w:customStyle="1" w:styleId="LawyerCity">
    <w:name w:val="Lawyer City"/>
    <w:basedOn w:val="LawyerName"/>
    <w:qFormat/>
    <w:rsid w:val="007633A3"/>
    <w:pPr>
      <w:spacing w:after="240"/>
    </w:pPr>
  </w:style>
  <w:style w:type="character" w:customStyle="1" w:styleId="Bold">
    <w:name w:val="Bold"/>
    <w:basedOn w:val="DefaultParagraphFont"/>
    <w:uiPriority w:val="1"/>
    <w:qFormat/>
    <w:rsid w:val="006A7E5A"/>
    <w:rPr>
      <w:b/>
    </w:rPr>
  </w:style>
  <w:style w:type="paragraph" w:customStyle="1" w:styleId="DetailsText">
    <w:name w:val="Details Text"/>
    <w:basedOn w:val="Details"/>
    <w:qFormat/>
    <w:rsid w:val="000D2758"/>
    <w:pPr>
      <w:spacing w:after="300"/>
    </w:pPr>
  </w:style>
  <w:style w:type="paragraph" w:customStyle="1" w:styleId="OfficeAddress">
    <w:name w:val="Office Address"/>
    <w:basedOn w:val="Text"/>
    <w:qFormat/>
    <w:rsid w:val="00D955E9"/>
    <w:pPr>
      <w:spacing w:line="340" w:lineRule="exact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D1"/>
    <w:rPr>
      <w:b/>
      <w:bCs/>
      <w:sz w:val="20"/>
      <w:szCs w:val="20"/>
    </w:rPr>
  </w:style>
  <w:style w:type="character" w:customStyle="1" w:styleId="ListBulletChar">
    <w:name w:val="ListBullet Char"/>
    <w:basedOn w:val="DefaultParagraphFont"/>
    <w:link w:val="ListBullet"/>
    <w:rsid w:val="00F563CC"/>
    <w:rPr>
      <w:color w:val="483733" w:themeColor="text2"/>
      <w:kern w:val="8"/>
    </w:rPr>
  </w:style>
  <w:style w:type="paragraph" w:styleId="ListParagraph">
    <w:name w:val="List Paragraph"/>
    <w:basedOn w:val="Normal"/>
    <w:uiPriority w:val="34"/>
    <w:qFormat/>
    <w:rsid w:val="00C943E4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523579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2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579"/>
  </w:style>
  <w:style w:type="character" w:customStyle="1" w:styleId="Heading2Char">
    <w:name w:val="Heading 2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BA4D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7C33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BA4D00" w:themeColor="accent1" w:themeShade="BF"/>
    </w:rPr>
  </w:style>
  <w:style w:type="character" w:customStyle="1" w:styleId="Heading5Char">
    <w:name w:val="Heading 5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BA4D00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7C330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7C3300" w:themeColor="accent1" w:themeShade="7F"/>
    </w:rPr>
  </w:style>
  <w:style w:type="character" w:customStyle="1" w:styleId="Heading8Char">
    <w:name w:val="Heading 8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romoTitle">
    <w:name w:val="Promo Title"/>
    <w:basedOn w:val="H2"/>
    <w:qFormat/>
    <w:rsid w:val="00863750"/>
    <w:pPr>
      <w:pBdr>
        <w:top w:val="single" w:sz="12" w:space="16" w:color="767967" w:themeColor="background2" w:themeShade="80"/>
      </w:pBdr>
      <w:spacing w:before="480" w:after="240" w:line="480" w:lineRule="exact"/>
    </w:pPr>
    <w:rPr>
      <w:rFonts w:ascii="Georgia" w:hAnsi="Georgia"/>
      <w:sz w:val="36"/>
      <w:szCs w:val="24"/>
    </w:rPr>
  </w:style>
  <w:style w:type="paragraph" w:customStyle="1" w:styleId="HyperlinkParagraphStyle">
    <w:name w:val="Hyperlink Paragraph Style"/>
    <w:qFormat/>
    <w:rsid w:val="00863750"/>
    <w:pPr>
      <w:spacing w:before="240"/>
    </w:pPr>
    <w:rPr>
      <w:caps/>
      <w:noProof/>
      <w:color w:val="F96800" w:themeColor="accent1"/>
      <w:kern w:val="8"/>
      <w:sz w:val="24"/>
      <w:u w:val="single" w:color="F96800" w:themeColor="accent1"/>
    </w:rPr>
  </w:style>
  <w:style w:type="character" w:styleId="UnresolvedMention">
    <w:name w:val="Unresolved Mention"/>
    <w:basedOn w:val="DefaultParagraphFont"/>
    <w:uiPriority w:val="99"/>
    <w:rsid w:val="00A67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740F"/>
    <w:rPr>
      <w:rFonts w:ascii="Arial" w:hAnsi="Arial"/>
      <w:color w:val="F96800" w:themeColor="accen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Type="http://schemas.openxmlformats.org/officeDocument/2006/relationships/hyperlink" Target="https://www.kslaw.com/people?capability_id=36" TargetMode="External" Id="rId13"/><Relationship Type="http://schemas.openxmlformats.org/officeDocument/2006/relationships/hyperlink" Target="https://www.kslaw.com/news-and-insights?capability_id=36&amp;post_category_id=1&amp;post_type=0" TargetMode="External" Id="rId14"/><Relationship Type="http://schemas.openxmlformats.org/officeDocument/2006/relationships/hyperlink" Target="https://www.kslaw.com/news-and-insights?capability_id=36&amp;post_type=2" TargetMode="External" Id="rId15"/><Relationship Type="http://schemas.openxmlformats.org/officeDocument/2006/relationships/hyperlink" Target="https://www.kslaw.com/news-and-insights?capability_id=36&amp;post_type=1" TargetMode="External" Id="rId16"/><Relationship Type="http://schemas.openxmlformats.org/officeDocument/2006/relationships/hyperlink" Target="https://www.kslaw.com/news-and-insights?capability_id=36&amp;post_type=0" TargetMode="External" Id="rId17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file:////Users/maggie/Desktop/KS_DOC17_Practice_Template_v1.dotx" TargetMode="External"/></Relationships>

</file>

<file path=word/theme/theme1.xml><?xml version="1.0" encoding="utf-8"?>
<a:theme xmlns:a="http://schemas.openxmlformats.org/drawingml/2006/main" name="Office Theme">
  <a:themeElements>
    <a:clrScheme name="King &amp; Spalding">
      <a:dk1>
        <a:sysClr val="windowText" lastClr="000000"/>
      </a:dk1>
      <a:lt1>
        <a:sysClr val="window" lastClr="FFFFFF"/>
      </a:lt1>
      <a:dk2>
        <a:srgbClr val="483733"/>
      </a:dk2>
      <a:lt2>
        <a:srgbClr val="E2E3DE"/>
      </a:lt2>
      <a:accent1>
        <a:srgbClr val="F96800"/>
      </a:accent1>
      <a:accent2>
        <a:srgbClr val="0083AD"/>
      </a:accent2>
      <a:accent3>
        <a:srgbClr val="0D807E"/>
      </a:accent3>
      <a:accent4>
        <a:srgbClr val="3A3B3F"/>
      </a:accent4>
      <a:accent5>
        <a:srgbClr val="00BBEB"/>
      </a:accent5>
      <a:accent6>
        <a:srgbClr val="0ABF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0D75A1-9FB4-E743-A45C-EA53A97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KS_DOC17_Practice_Template_v1.dotx</Template>
  <TotalTime>104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Lei</dc:creator>
  <cp:keywords/>
  <dc:description/>
  <cp:lastModifiedBy>Grant Currie</cp:lastModifiedBy>
  <cp:revision>203</cp:revision>
  <cp:lastPrinted>2017-04-11T14:25:00Z</cp:lastPrinted>
  <dcterms:created xsi:type="dcterms:W3CDTF">2017-04-13T17:41:00Z</dcterms:created>
  <dcterms:modified xsi:type="dcterms:W3CDTF">2022-02-15T23:04:00Z</dcterms:modified>
</cp:coreProperties>
</file>