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Real Estate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Die Immobilienwirtschaft steht vor vielen Herausforderungen mit konstantem Wandel der Marktbedingungen, Strukturen und Regulierungen. Unser Immobilien-Team hat ein umfassendes Verständnis dieser wesentlichen Treiber, Entwicklungen und Trends innerhalb der Industrie, so dass wir – stets mit klarem Fokus auf dem Business unserer Mandanten – Lösungen für komplexeste Probleme finden.</w:t>
      </w:r>
    </w:p>
    <w:p>
      <w:pPr>
        <w:pStyle w:val="Paragraph"/>
      </w:pPr>
      <w:r>
        <w:t xml:space="preserve">Unser Team unterstützt führende Immobilienakteure in den USA sowie in über 50 Ländern, darunter institutionelle Investoren, Investment Manager, Fonds, öffentliche und private REITs, Darlehensgeber sowie Darlehensnehmer bei der Strukturierung und Ausführung des vollen Spektrums komplexer Immobilientransaktionen, einschließlich:</w:t>
      </w:r>
    </w:p>
    <w:p>
      <w:pPr>
        <w:pStyle w:val="ListBullet"/>
        <w:numPr>
          <w:ilvl w:val="0"/>
          <w:numId w:val="21"/>
        </w:numPr>
      </w:pPr>
      <w:r>
        <w:t xml:space="preserve">•  Akquisitionen, Veräußerungen, Finanzierungen</w:t>
      </w:r>
    </w:p>
    <w:p>
      <w:pPr>
        <w:pStyle w:val="ListBullet"/>
        <w:numPr>
          <w:ilvl w:val="0"/>
          <w:numId w:val="21"/>
        </w:numPr>
      </w:pPr>
      <w:r>
        <w:t xml:space="preserve">•  Komplexe Joint Ventures</w:t>
      </w:r>
    </w:p>
    <w:p>
      <w:pPr>
        <w:pStyle w:val="ListBullet"/>
        <w:numPr>
          <w:ilvl w:val="0"/>
          <w:numId w:val="21"/>
        </w:numPr>
      </w:pPr>
      <w:r>
        <w:t xml:space="preserve">•  Immobilienfonds</w:t>
      </w:r>
    </w:p>
    <w:p>
      <w:pPr>
        <w:pStyle w:val="ListBullet"/>
        <w:numPr>
          <w:ilvl w:val="0"/>
          <w:numId w:val="21"/>
        </w:numPr>
      </w:pPr>
      <w:r>
        <w:t xml:space="preserve">•  Immobilienentwicklungen</w:t>
      </w:r>
    </w:p>
    <w:p>
      <w:pPr>
        <w:pStyle w:val="ListBullet"/>
        <w:numPr>
          <w:ilvl w:val="0"/>
          <w:numId w:val="21"/>
        </w:numPr>
      </w:pPr>
      <w:r>
        <w:t xml:space="preserve">•  Fusionen und Übernahmen im Immobilienbereich </w:t>
      </w:r>
    </w:p>
    <w:p>
      <w:pPr>
        <w:pStyle w:val="ListBullet"/>
        <w:numPr>
          <w:ilvl w:val="0"/>
          <w:numId w:val="21"/>
        </w:numPr>
      </w:pPr>
      <w:r>
        <w:t xml:space="preserve">•  Finanzielle Restrukturierung</w:t>
      </w:r>
    </w:p>
    <w:p>
      <w:pPr>
        <w:pStyle w:val="ListBullet"/>
        <w:numPr>
          <w:ilvl w:val="0"/>
          <w:numId w:val="21"/>
        </w:numPr>
      </w:pPr>
      <w:r>
        <w:t xml:space="preserve">•  Öffentliche und private Kapitalisierungsstrategien </w:t>
      </w:r>
    </w:p>
    <w:p>
      <w:pPr>
        <w:pStyle w:val="ListBullet"/>
        <w:numPr>
          <w:ilvl w:val="0"/>
          <w:numId w:val="21"/>
        </w:numPr>
      </w:pPr>
      <w:r>
        <w:t xml:space="preserve">•  Nationale und internationale Steuerstrukturierung </w:t>
      </w:r>
    </w:p>
    <w:p>
      <w:pPr>
        <w:pStyle w:val="ListBullet"/>
        <w:numPr>
          <w:ilvl w:val="0"/>
          <w:numId w:val="21"/>
        </w:numPr>
      </w:pPr>
      <w:r>
        <w:t xml:space="preserve">•  Islamic Finance</w:t>
      </w:r>
    </w:p>
    <w:p>
      <w:pPr>
        <w:pStyle w:val="Paragraph"/>
      </w:pPr>
      <w:r>
        <w:t xml:space="preserve">Wir sind dort, wo unsere Mandanten uns brauchen. Ob in den USA, Europa, dem Nahen Osten oder Lateinamerika – unsere Arbeit dort erfährt stetige Anerkennung.</w:t>
      </w:r>
    </w:p>
    <w:p>
      <w:pPr>
        <w:pStyle w:val="Paragraph"/>
      </w:pPr>
      <w:r>
        <w:t xml:space="preserve">Unser Immobilien-Team berät US-amerikanische und nicht-US-amerikanische Kunden bei der Abwicklung nationaler und grenzüberschreitender Transaktionen in vielen Branchen, insbesondere bei Projekten und Investitionen in den Bereichen Energie, Infrastruktur, Gastgewerbe und Gesundheitswesen.</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3 in Nationwide Real Estate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in Georgia Real Estate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4 in New York Real Estate: Mainly Corporate &amp; Finance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2015-06-02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Orion Capital Managers on Purchase of 12-City, German Commercial Real Estate Portfolio</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3">
        <w:r>
          <w:rPr>
            <w:rStyle w:val="Hyperlink"/>
            <w:rFonts w:cs="Times New Roman (Body CS)"/>
            <w:noProof/>
            <w:color w:val="F96800" w:themeColor="accent1"/>
            <w:position w:val="12"/>
            <w:sz w:val="20"/>
            <w:szCs w:val="20"/>
          </w:rPr>
          <w:t xml:space="preserve">ALLES ANZEIGEN</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2025-12-01</w:t>
      </w:r>
    </w:p>
    <w:p w14:paraId="38DC0FB2" w14:textId="77777777" w:rsidR="0046190E" w:rsidRDefault="0046190E" w:rsidP="0046190E">
      <w:pPr>
        <w:pStyle w:val="H3"/>
        <w:spacing w:before="0"/>
        <w:rPr>
          <w:caps w:val="0"/>
          <w:noProof w:val="0"/>
          <w:color w:val="483733" w:themeColor="text2"/>
        </w:rPr>
      </w:pPr>
      <w:r>
        <w:rPr>
          <w:caps w:val="0"/>
          <w:color w:val="483733" w:themeColor="text2"/>
        </w:rPr>
        <w:t>Packaging artists in trouble – ESMA recommends adjusting the UCITS Eligible Assets Directive</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2025-08-12</w:t>
      </w:r>
    </w:p>
    <w:p w14:paraId="38DC0FB2" w14:textId="77777777" w:rsidR="0046190E" w:rsidRDefault="0046190E" w:rsidP="0046190E">
      <w:pPr>
        <w:pStyle w:val="H3"/>
        <w:spacing w:before="0"/>
        <w:rPr>
          <w:caps w:val="0"/>
          <w:noProof w:val="0"/>
          <w:color w:val="483733" w:themeColor="text2"/>
        </w:rPr>
      </w:pPr>
      <w:r>
        <w:rPr>
          <w:caps w:val="0"/>
          <w:color w:val="483733" w:themeColor="text2"/>
        </w:rPr>
        <w:t>Limitation of Liability for Investment Management Companies and Other Legislative Strokes of Genius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2025-03-19</w:t>
      </w:r>
    </w:p>
    <w:p w14:paraId="38DC0FB2" w14:textId="77777777" w:rsidR="0046190E" w:rsidRDefault="0046190E" w:rsidP="0046190E">
      <w:pPr>
        <w:pStyle w:val="H3"/>
        <w:spacing w:before="0"/>
        <w:rPr>
          <w:caps w:val="0"/>
          <w:noProof w:val="0"/>
          <w:color w:val="483733" w:themeColor="text2"/>
        </w:rPr>
      </w:pPr>
      <w:r>
        <w:rPr>
          <w:caps w:val="0"/>
          <w:color w:val="483733" w:themeColor="text2"/>
        </w:rPr>
        <w:t>Self-Administration of Real Estate Funds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ALLES ANZEIGEN</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2025-12-03</w:t>
      </w:r>
    </w:p>
    <w:p w14:paraId="4BD15F45" w14:textId="77777777" w:rsidR="009816A0" w:rsidRDefault="009816A0" w:rsidP="009816A0">
      <w:pPr>
        <w:pStyle w:val="H3"/>
        <w:spacing w:before="0"/>
        <w:rPr>
          <w:caps w:val="0"/>
          <w:noProof w:val="0"/>
          <w:color w:val="483733" w:themeColor="text2"/>
        </w:rPr>
      </w:pPr>
      <w:r>
        <w:rPr>
          <w:caps w:val="0"/>
          <w:color w:val="483733" w:themeColor="text2"/>
        </w:rPr>
        <w:t>Talk im Turm - Infrastructure Facilities: Battery Storage as a New Asset Class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2025-06-26</w:t>
      </w:r>
    </w:p>
    <w:p w14:paraId="4BD15F45" w14:textId="77777777" w:rsidR="009816A0" w:rsidRDefault="009816A0" w:rsidP="009816A0">
      <w:pPr>
        <w:pStyle w:val="H3"/>
        <w:spacing w:before="0"/>
        <w:rPr>
          <w:caps w:val="0"/>
          <w:noProof w:val="0"/>
          <w:color w:val="483733" w:themeColor="text2"/>
        </w:rPr>
      </w:pPr>
      <w:r>
        <w:rPr>
          <w:caps w:val="0"/>
          <w:color w:val="483733" w:themeColor="text2"/>
        </w:rPr>
        <w:t>Moritz Heidbuechel to Speak at EBS Executive School</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2025-06-12</w:t>
      </w:r>
    </w:p>
    <w:p w14:paraId="4BD15F45" w14:textId="77777777" w:rsidR="009816A0" w:rsidRDefault="009816A0" w:rsidP="009816A0">
      <w:pPr>
        <w:pStyle w:val="H3"/>
        <w:spacing w:before="0"/>
        <w:rPr>
          <w:caps w:val="0"/>
          <w:noProof w:val="0"/>
          <w:color w:val="483733" w:themeColor="text2"/>
        </w:rPr>
      </w:pPr>
      <w:r>
        <w:rPr>
          <w:caps w:val="0"/>
          <w:color w:val="483733" w:themeColor="text2"/>
        </w:rPr>
        <w:t>Sebastian Kaufmann and Moritz Heidbuechel to Speak at EBS Executive School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ALLES ANZEIGEN</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2023-08-08</w:t>
      </w:r>
    </w:p>
    <w:p w14:paraId="5700260F" w14:textId="77777777" w:rsidR="00F21DCE" w:rsidRDefault="00F21DCE" w:rsidP="00F21DCE">
      <w:pPr>
        <w:pStyle w:val="H3"/>
        <w:spacing w:before="0"/>
        <w:rPr>
          <w:caps w:val="0"/>
          <w:noProof w:val="0"/>
          <w:color w:val="483733" w:themeColor="text2"/>
        </w:rPr>
      </w:pPr>
      <w:r>
        <w:rPr>
          <w:caps w:val="0"/>
          <w:color w:val="483733" w:themeColor="text2"/>
        </w:rPr>
        <w:t>Axel Schilder and Martin Wolff comment on planned amendments to the German Real Estate Transfer Tax Act and possible effects on share deals in particular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2023-04-19</w:t>
      </w:r>
    </w:p>
    <w:p w14:paraId="5700260F" w14:textId="77777777" w:rsidR="00F21DCE" w:rsidRDefault="00F21DCE" w:rsidP="00F21DCE">
      <w:pPr>
        <w:pStyle w:val="H3"/>
        <w:spacing w:before="0"/>
        <w:rPr>
          <w:caps w:val="0"/>
          <w:noProof w:val="0"/>
          <w:color w:val="483733" w:themeColor="text2"/>
        </w:rPr>
      </w:pPr>
      <w:r>
        <w:rPr>
          <w:caps w:val="0"/>
          <w:color w:val="483733" w:themeColor="text2"/>
        </w:rPr>
        <w:t>Axel Schilder comments on the current transaction market in Germany</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2023-04-12</w:t>
      </w:r>
    </w:p>
    <w:p w14:paraId="5700260F" w14:textId="77777777" w:rsidR="00F21DCE" w:rsidRDefault="00F21DCE" w:rsidP="00F21DCE">
      <w:pPr>
        <w:pStyle w:val="H3"/>
        <w:spacing w:before="0"/>
        <w:rPr>
          <w:caps w:val="0"/>
          <w:noProof w:val="0"/>
          <w:color w:val="483733" w:themeColor="text2"/>
        </w:rPr>
      </w:pPr>
      <w:r>
        <w:rPr>
          <w:caps w:val="0"/>
          <w:color w:val="483733" w:themeColor="text2"/>
        </w:rPr>
        <w:t>Axel Schilder discusses diversity &amp; lawyer-well-being at Juracon panel</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ALLES ANZEIGEN</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news-and-insights?capability_id=36&amp;post_category_id=1&amp;post_type=0" TargetMode="External" Id="rId13"/><Relationship Type="http://schemas.openxmlformats.org/officeDocument/2006/relationships/hyperlink" Target="https://www.kslaw.com/news-and-insights?capability_id=36&amp;post_type=2" TargetMode="External" Id="rId14"/><Relationship Type="http://schemas.openxmlformats.org/officeDocument/2006/relationships/hyperlink" Target="https://www.kslaw.com/news-and-insights?capability_id=36&amp;post_type=1" TargetMode="External" Id="rId15"/><Relationship Type="http://schemas.openxmlformats.org/officeDocument/2006/relationships/hyperlink" Target="https://www.kslaw.com/news-and-insights?capability_id=36&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