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Public Companies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Public Companies face unique challenges when navigating complex transactions, high-stakes disputes, and other strategic and business-related matters -- from disclosure obligations and governance requirements to scrutiny from regulators, institutional investors, stock exchanges and the media. King &amp; Spalding’s Public Companies team brings together resources across our firm to guide public companies and their boards of directors, executive management and legal departments on the matters that drive their business strategies forward.</w:t>
      </w:r>
    </w:p>
    <w:p>
      <w:pPr>
        <w:pStyle w:val="Paragraph"/>
      </w:pPr>
      <w:r>
        <w:t xml:space="preserve">Our core team advises public company clients on matters involving:</w:t>
      </w:r>
    </w:p>
    <w:p>
      <w:pPr>
        <w:pStyle w:val="ListBullet"/>
        <w:numPr>
          <w:ilvl w:val="0"/>
          <w:numId w:val="21"/>
        </w:numPr>
      </w:pPr>
      <w:r>
        <w:t xml:space="preserve">•  Mergers &amp; acquisitions</w:t>
      </w:r>
    </w:p>
    <w:p>
      <w:pPr>
        <w:pStyle w:val="ListBullet"/>
        <w:numPr>
          <w:ilvl w:val="0"/>
          <w:numId w:val="21"/>
        </w:numPr>
      </w:pPr>
      <w:r>
        <w:t xml:space="preserve">•  Capital markets and corporate finance</w:t>
      </w:r>
    </w:p>
    <w:p>
      <w:pPr>
        <w:pStyle w:val="ListBullet"/>
        <w:numPr>
          <w:ilvl w:val="0"/>
          <w:numId w:val="21"/>
        </w:numPr>
      </w:pPr>
      <w:r>
        <w:t xml:space="preserve">•  Corporate governance, disclosure, and stakeholder engagement, including Environmental, Social &amp; Governance (ESG)</w:t>
      </w:r>
    </w:p>
    <w:p>
      <w:pPr>
        <w:pStyle w:val="ListBullet"/>
        <w:numPr>
          <w:ilvl w:val="0"/>
          <w:numId w:val="21"/>
        </w:numPr>
      </w:pPr>
      <w:r>
        <w:t xml:space="preserve">•  SEC and stock exchange reporting obligations and disclosure issues</w:t>
      </w:r>
    </w:p>
    <w:p>
      <w:pPr>
        <w:pStyle w:val="ListBullet"/>
        <w:numPr>
          <w:ilvl w:val="0"/>
          <w:numId w:val="21"/>
        </w:numPr>
      </w:pPr>
      <w:r>
        <w:t xml:space="preserve">•  Activism and takeover defense</w:t>
      </w:r>
    </w:p>
    <w:p>
      <w:pPr>
        <w:pStyle w:val="ListBullet"/>
        <w:numPr>
          <w:ilvl w:val="0"/>
          <w:numId w:val="21"/>
        </w:numPr>
      </w:pPr>
      <w:r>
        <w:t xml:space="preserve">•  Proxy access</w:t>
      </w:r>
    </w:p>
    <w:p>
      <w:pPr>
        <w:pStyle w:val="ListBullet"/>
        <w:numPr>
          <w:ilvl w:val="0"/>
          <w:numId w:val="21"/>
        </w:numPr>
      </w:pPr>
      <w:r>
        <w:t xml:space="preserve">•  Special Purpose Acquisition Companies (SPACs)</w:t>
      </w:r>
    </w:p>
    <w:p>
      <w:pPr>
        <w:pStyle w:val="Paragraph"/>
      </w:pPr>
      <w:r>
        <w:t xml:space="preserve">Our public company clients also benefit from our integration with our teams in other areas critical to their transactions and disputes:</w:t>
      </w:r>
    </w:p>
    <w:p>
      <w:pPr>
        <w:pStyle w:val="ListBullet"/>
        <w:numPr>
          <w:ilvl w:val="0"/>
          <w:numId w:val="22"/>
        </w:numPr>
      </w:pPr>
      <w:r>
        <w:t xml:space="preserve">•  Antitrust</w:t>
      </w:r>
    </w:p>
    <w:p>
      <w:pPr>
        <w:pStyle w:val="ListBullet"/>
        <w:numPr>
          <w:ilvl w:val="0"/>
          <w:numId w:val="22"/>
        </w:numPr>
      </w:pPr>
      <w:r>
        <w:t xml:space="preserve">•  Employee benefits and executive compensation</w:t>
      </w:r>
    </w:p>
    <w:p>
      <w:pPr>
        <w:pStyle w:val="ListBullet"/>
        <w:numPr>
          <w:ilvl w:val="0"/>
          <w:numId w:val="22"/>
        </w:numPr>
      </w:pPr>
      <w:r>
        <w:t xml:space="preserve">•  Crisis Management</w:t>
      </w:r>
    </w:p>
    <w:p>
      <w:pPr>
        <w:pStyle w:val="ListBullet"/>
        <w:numPr>
          <w:ilvl w:val="0"/>
          <w:numId w:val="22"/>
        </w:numPr>
      </w:pPr>
      <w:r>
        <w:t xml:space="preserve">•  Data, Privacy and Security</w:t>
      </w:r>
    </w:p>
    <w:p>
      <w:pPr>
        <w:pStyle w:val="ListBullet"/>
        <w:numPr>
          <w:ilvl w:val="0"/>
          <w:numId w:val="22"/>
        </w:numPr>
      </w:pPr>
      <w:r>
        <w:t xml:space="preserve">•  Environmental matters</w:t>
      </w:r>
    </w:p>
    <w:p>
      <w:pPr>
        <w:pStyle w:val="ListBullet"/>
        <w:numPr>
          <w:ilvl w:val="0"/>
          <w:numId w:val="22"/>
        </w:numPr>
      </w:pPr>
      <w:r>
        <w:t xml:space="preserve">•  Global Human Capital &amp; Compliance</w:t>
      </w:r>
    </w:p>
    <w:p>
      <w:pPr>
        <w:pStyle w:val="ListBullet"/>
        <w:numPr>
          <w:ilvl w:val="0"/>
          <w:numId w:val="22"/>
        </w:numPr>
      </w:pPr>
      <w:r>
        <w:t xml:space="preserve">•  Labor</w:t>
      </w:r>
    </w:p>
    <w:p>
      <w:pPr>
        <w:pStyle w:val="ListBullet"/>
        <w:numPr>
          <w:ilvl w:val="0"/>
          <w:numId w:val="22"/>
        </w:numPr>
      </w:pPr>
      <w:r>
        <w:t xml:space="preserve">•  Intellectual Property</w:t>
      </w:r>
    </w:p>
    <w:p>
      <w:pPr>
        <w:pStyle w:val="ListBullet"/>
        <w:numPr>
          <w:ilvl w:val="0"/>
          <w:numId w:val="22"/>
        </w:numPr>
      </w:pPr>
      <w:r>
        <w:t xml:space="preserve">•  Securities Enforcement and Regulation</w:t>
      </w:r>
    </w:p>
    <w:p>
      <w:pPr>
        <w:pStyle w:val="ListBullet"/>
        <w:numPr>
          <w:ilvl w:val="0"/>
          <w:numId w:val="22"/>
        </w:numPr>
      </w:pPr>
      <w:r>
        <w:t xml:space="preserve">•  Securities Litigation</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C. Smith III (Cal)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Keith M. Townsend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Timothy P. FitzSimons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Erik Belenky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Jonathan B. Newton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French Sidetrade SA to Acquire German SHS Viveon AG</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Eagle Corporation in the $675 million sale of Concrete Pipe &amp; Precast, LLC</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Smith Ventures on its $690 million acquisition of Green Dot Corporation (NYSE: DOT)</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2025-10-15</w:t>
      </w:r>
    </w:p>
    <w:p w14:paraId="38DC0FB2" w14:textId="77777777" w:rsidR="0046190E" w:rsidRDefault="0046190E" w:rsidP="0046190E">
      <w:pPr>
        <w:pStyle w:val="H3"/>
        <w:spacing w:before="0"/>
        <w:rPr>
          <w:caps w:val="0"/>
          <w:noProof w:val="0"/>
          <w:color w:val="483733" w:themeColor="text2"/>
        </w:rPr>
      </w:pPr>
      <w:r>
        <w:rPr>
          <w:caps w:val="0"/>
          <w:color w:val="483733" w:themeColor="text2"/>
        </w:rPr>
        <w:t>FinCEN Relaxes Suspicious Activity Reporting Requirements Via Four New FAQs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2025-10-09</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evolving landscape of shareholder activism</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2025-08-08</w:t>
      </w:r>
    </w:p>
    <w:p w14:paraId="38DC0FB2" w14:textId="77777777" w:rsidR="0046190E" w:rsidRDefault="0046190E" w:rsidP="0046190E">
      <w:pPr>
        <w:pStyle w:val="H3"/>
        <w:spacing w:before="0"/>
        <w:rPr>
          <w:caps w:val="0"/>
          <w:noProof w:val="0"/>
          <w:color w:val="483733" w:themeColor="text2"/>
        </w:rPr>
      </w:pPr>
      <w:r>
        <w:rPr>
          <w:caps w:val="0"/>
          <w:color w:val="483733" w:themeColor="text2"/>
        </w:rPr>
        <w:t>Fed Follows Earlier OCC, FDIC, and NCUA Orders Allowing Banks to Collect TIN Information from Third Parties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Elizabeth Morgan to Speak at 2025 Securities Regulation Institute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2024-01-22</w:t>
      </w:r>
    </w:p>
    <w:p w14:paraId="4BD15F45" w14:textId="77777777" w:rsidR="009816A0" w:rsidRDefault="009816A0" w:rsidP="009816A0">
      <w:pPr>
        <w:pStyle w:val="H3"/>
        <w:spacing w:before="0"/>
        <w:rPr>
          <w:caps w:val="0"/>
          <w:noProof w:val="0"/>
          <w:color w:val="483733" w:themeColor="text2"/>
        </w:rPr>
      </w:pPr>
      <w:r>
        <w:rPr>
          <w:caps w:val="0"/>
          <w:color w:val="483733" w:themeColor="text2"/>
        </w:rPr>
        <w:t>Dixie Johnson to Chair and Elizabeth Morgan to Speak at the 51st Securities Regulation Institute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2023-10-25</w:t>
      </w:r>
    </w:p>
    <w:p w14:paraId="4BD15F45" w14:textId="77777777" w:rsidR="009816A0" w:rsidRDefault="009816A0" w:rsidP="009816A0">
      <w:pPr>
        <w:pStyle w:val="H3"/>
        <w:spacing w:before="0"/>
        <w:rPr>
          <w:caps w:val="0"/>
          <w:noProof w:val="0"/>
          <w:color w:val="483733" w:themeColor="text2"/>
        </w:rPr>
      </w:pPr>
      <w:r>
        <w:rPr>
          <w:caps w:val="0"/>
          <w:color w:val="483733" w:themeColor="text2"/>
        </w:rPr>
        <w:t>Rod Rosenstein, Sally Yates to Speak at Retail Industry Leaders Association’s Retail Law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Multiple Practice and Individual Rankings in 2025 IFLR1000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Cal Smith, John Anderson and Jacob Weber advise PROG Holdings on its $420M acquisition of Purchasing Power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2025-11-24</w:t>
      </w:r>
    </w:p>
    <w:p w14:paraId="5700260F" w14:textId="77777777" w:rsidR="00F21DCE" w:rsidRDefault="00F21DCE" w:rsidP="00F21DCE">
      <w:pPr>
        <w:pStyle w:val="H3"/>
        <w:spacing w:before="0"/>
        <w:rPr>
          <w:caps w:val="0"/>
          <w:noProof w:val="0"/>
          <w:color w:val="483733" w:themeColor="text2"/>
        </w:rPr>
      </w:pPr>
      <w:r>
        <w:rPr>
          <w:caps w:val="0"/>
          <w:color w:val="483733" w:themeColor="text2"/>
        </w:rPr>
        <w:t>Cal Smith, John Anderson, Jarrod Hall, Todd Holleman, Abby Boxer, Spencer Johnson, Daniel Fowler, John Kleinjan, John Sweet and Scott Petty advise Smith Ventures on its $690M acquisition of Green Dot Corporation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26" TargetMode="External" Id="rId13"/><Relationship Type="http://schemas.openxmlformats.org/officeDocument/2006/relationships/hyperlink" Target="https://www.kslaw.com/news-and-insights?capability_id=126&amp;post_category_id=1&amp;post_type=0" TargetMode="External" Id="rId14"/><Relationship Type="http://schemas.openxmlformats.org/officeDocument/2006/relationships/hyperlink" Target="https://www.kslaw.com/news-and-insights?capability_id=126&amp;post_type=2" TargetMode="External" Id="rId15"/><Relationship Type="http://schemas.openxmlformats.org/officeDocument/2006/relationships/hyperlink" Target="https://www.kslaw.com/news-and-insights?capability_id=126&amp;post_type=1" TargetMode="External" Id="rId16"/><Relationship Type="http://schemas.openxmlformats.org/officeDocument/2006/relationships/hyperlink" Target="https://www.kslaw.com/news-and-insights?capability_id=126&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