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National Security and Corporate Espionage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National Security and Corporate Espionage practice has unparalleled experience at the most senior levels of government and an unmatched understanding of the current cyber, espionage, and national security risk and regulatory landscape. We assist global clients in developing risk mitigation strategies related to their key assets, expanding into foreign markets, assessing major transactions, navigating the CFIUS process, addressing supply chain risks, meeting new government contracting requirements, minimizing the impact of security incidents and responding to regulatory actions, lawsuits and congressional inquiries.  </w:t>
      </w:r>
    </w:p>
    <w:p>
      <w:pPr>
        <w:pStyle w:val="Paragraph"/>
      </w:pPr>
      <w:r>
        <w:t xml:space="preserve">To do so, we draw upon:</w:t>
      </w:r>
    </w:p>
    <w:p>
      <w:pPr>
        <w:pStyle w:val="ListBullet"/>
        <w:numPr>
          <w:ilvl w:val="0"/>
          <w:numId w:val="21"/>
        </w:numPr>
      </w:pPr>
      <w:r>
        <w:t xml:space="preserve">•  more than 100 former senior U.S. government officials with decades of experience in national security legal positions at agencies, including the Federal Bureau of Investigation (FBI), the Central Intelligence Agency (CIA), the Office of the Director of National Intelligence (ODNI), the Office of the U.S. Trade Representative (USTR) and the U.S. Department of Justice (DOJ)</w:t>
      </w:r>
    </w:p>
    <w:p>
      <w:pPr>
        <w:pStyle w:val="ListBullet"/>
        <w:numPr>
          <w:ilvl w:val="0"/>
          <w:numId w:val="21"/>
        </w:numPr>
      </w:pPr>
      <w:r>
        <w:t xml:space="preserve">•  FBI and executive branch perspective gained through the additions of  Dan Coats, former Director of National Intelligence and U.S. Senator; Sumon Dantiki, former Senior Counselor to the FBI Director and Robert Hur, former Independent Counsel with the (DOJ).</w:t>
      </w:r>
    </w:p>
    <w:p>
      <w:pPr>
        <w:pStyle w:val="ListBullet"/>
        <w:numPr>
          <w:ilvl w:val="0"/>
          <w:numId w:val="21"/>
        </w:numPr>
      </w:pPr>
      <w:r>
        <w:t xml:space="preserve">•  dedicated top-tier practices including Data, Privacy and Security; Special Matters and Government Investigations; Committee on Foreign Investment in the U.S. (CFIUS); Government Advocacy and Public Policy (GAPP); Intellectual Property and others to offer comprehensive solutions</w:t>
      </w:r>
    </w:p>
    <w:p>
      <w:pPr>
        <w:pStyle w:val="ListBullet"/>
        <w:numPr>
          <w:ilvl w:val="0"/>
          <w:numId w:val="21"/>
        </w:numPr>
      </w:pPr>
      <w:r>
        <w:t xml:space="preserve">•  deep experience counseling clients through hundreds of incidents, including crisis communications and subsequent litigation, in connection with the country’s most prominent security breaches</w:t>
      </w:r>
    </w:p>
    <w:p>
      <w:pPr>
        <w:pStyle w:val="ListBullet"/>
        <w:numPr>
          <w:ilvl w:val="0"/>
          <w:numId w:val="21"/>
        </w:numPr>
      </w:pPr>
      <w:r>
        <w:t xml:space="preserve">•  extensive experience defending high-profile government investigations, navigating the unique challenges of congressional oversight investigations, and proven track records of success in resulting litigation, including False Claims Act (FCA) litigation, shareholder and class action lawsuits, and trade secret theft</w:t>
      </w:r>
    </w:p>
    <w:p>
      <w:pPr>
        <w:pStyle w:val="ListBullet"/>
        <w:numPr>
          <w:ilvl w:val="0"/>
          <w:numId w:val="21"/>
        </w:numPr>
      </w:pPr>
      <w:r>
        <w:t xml:space="preserve">•  a leading international trade practice with multidisciplinary experience navigating foreign investment reviews under CFIUS, trade disputes, export control proceedings and economic sanctions</w:t>
      </w:r>
    </w:p>
    <w:p>
      <w:pPr>
        <w:pStyle w:val="ListBullet"/>
        <w:numPr>
          <w:ilvl w:val="0"/>
          <w:numId w:val="21"/>
        </w:numPr>
      </w:pPr>
      <w:r>
        <w:t xml:space="preserve">•  early and frequent collaboration with our leading global M&amp;A practice and private equity colleagues through the life cycle of deals and portfolio company management</w:t>
      </w:r>
    </w:p>
    <w:p>
      <w:pPr>
        <w:pStyle w:val="ListBullet"/>
        <w:numPr>
          <w:ilvl w:val="0"/>
          <w:numId w:val="21"/>
        </w:numPr>
      </w:pPr>
      <w:r>
        <w:t xml:space="preserve">•  unique technical capabilities of certified ethical hackers and computer hacking forensic investigators on our team</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Daniel R. Coats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C. Hruska (Drew)</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2025-10-14</w:t>
      </w:r>
    </w:p>
    <w:p w14:paraId="38DC0FB2" w14:textId="77777777" w:rsidR="0046190E" w:rsidRDefault="0046190E" w:rsidP="0046190E">
      <w:pPr>
        <w:pStyle w:val="H3"/>
        <w:spacing w:before="0"/>
        <w:rPr>
          <w:caps w:val="0"/>
          <w:noProof w:val="0"/>
          <w:color w:val="483733" w:themeColor="text2"/>
        </w:rPr>
      </w:pPr>
      <w:r>
        <w:rPr>
          <w:caps w:val="0"/>
          <w:color w:val="483733" w:themeColor="text2"/>
        </w:rPr>
        <w:t>Trump Administration Expands Export Controls Restrictions to Non-U.S. Entities Owned by Restricted Parties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2025-07-08</w:t>
      </w:r>
    </w:p>
    <w:p w14:paraId="38DC0FB2" w14:textId="77777777" w:rsidR="0046190E" w:rsidRDefault="0046190E" w:rsidP="0046190E">
      <w:pPr>
        <w:pStyle w:val="H3"/>
        <w:spacing w:before="0"/>
        <w:rPr>
          <w:caps w:val="0"/>
          <w:noProof w:val="0"/>
          <w:color w:val="483733" w:themeColor="text2"/>
        </w:rPr>
      </w:pPr>
      <w:r>
        <w:rPr>
          <w:caps w:val="0"/>
          <w:color w:val="483733" w:themeColor="text2"/>
        </w:rPr>
        <w:t>Navigating Enforcement Risks Facing Data Centers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2025-04-29</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Executive Order “Restoring America’s Maritime Dominance”: Revitalizing the U.S. Shipbuilding and Maritime Industry</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2025-08-21</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Galdo to Speak at Fed Supernova</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2025-07-16</w:t>
      </w:r>
    </w:p>
    <w:p w14:paraId="4BD15F45" w14:textId="77777777" w:rsidR="009816A0" w:rsidRDefault="009816A0" w:rsidP="009816A0">
      <w:pPr>
        <w:pStyle w:val="H3"/>
        <w:spacing w:before="0"/>
        <w:rPr>
          <w:caps w:val="0"/>
          <w:noProof w:val="0"/>
          <w:color w:val="483733" w:themeColor="text2"/>
        </w:rPr>
      </w:pPr>
      <w:r>
        <w:rPr>
          <w:caps w:val="0"/>
          <w:color w:val="483733" w:themeColor="text2"/>
        </w:rPr>
        <w:t>Sumon Dantiki to Speak at The International Conference on Cyber Security</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2025-05-22</w:t>
      </w:r>
    </w:p>
    <w:p w14:paraId="4BD15F45" w14:textId="77777777" w:rsidR="009816A0" w:rsidRDefault="009816A0" w:rsidP="009816A0">
      <w:pPr>
        <w:pStyle w:val="H3"/>
        <w:spacing w:before="0"/>
        <w:rPr>
          <w:caps w:val="0"/>
          <w:noProof w:val="0"/>
          <w:color w:val="483733" w:themeColor="text2"/>
        </w:rPr>
      </w:pPr>
      <w:r>
        <w:rPr>
          <w:caps w:val="0"/>
          <w:color w:val="483733" w:themeColor="text2"/>
        </w:rPr>
        <w:t>J.C. Boggs to Speak on Critical Minerals at the Parliamentary Intelligence-Security Forum</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Phil Ludvigson explains how the recent government shutdown may have impacted pending CFIUS filings and transactions, and what is on the horizon now that the shutdown is over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Spulak comments on Linda Sun being indicted for allegedly using her job to benefit the Chinese government in exchange for millions in payments to her husband’s business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2025-09-26</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Spulak comments on President Trump referencing FARA enforcement in a recent memorandum on tackling “domestic terrorism and organized political violence”</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0" TargetMode="External" Id="rId13"/><Relationship Type="http://schemas.openxmlformats.org/officeDocument/2006/relationships/hyperlink" Target="https://www.kslaw.com/news-and-insights?capability_id=110&amp;post_type=2" TargetMode="External" Id="rId14"/><Relationship Type="http://schemas.openxmlformats.org/officeDocument/2006/relationships/hyperlink" Target="https://www.kslaw.com/news-and-insights?capability_id=110&amp;post_type=1" TargetMode="External" Id="rId15"/><Relationship Type="http://schemas.openxmlformats.org/officeDocument/2006/relationships/hyperlink" Target="https://www.kslaw.com/news-and-insights?capability_id=110&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