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Mergers and Acquisitions (M&amp;A)</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When it comes to helping our clients advance their business goals, King &amp; Spalding knows every transaction is significant. From complex, high-value deals that shape markets to strategic transactions that sharpen a business’s focus, we bring together our collective experience, global resources, and deep industry knowledge to help acquirors, sellers and targets successfully execute and close transactions – treating each we handle with an uncompromising approach to quality and service.</w:t>
      </w:r>
    </w:p>
    <w:p>
      <w:pPr>
        <w:pStyle w:val="Paragraph"/>
      </w:pPr>
      <w:r>
        <w:t xml:space="preserve">Each year, we advise on hundreds of transactions across the globe, including multi-billion-dollar public company M&amp;A transactions, serial acquisitions, private equity and strategic investments for financial sponsors, and expansion and exit deals for middle market and smaller private companies. These clients turn to us because of our understanding of their business objectives and our straightforward, outward-oriented and personal approach.</w:t>
      </w:r>
    </w:p>
    <w:p>
      <w:pPr>
        <w:pStyle w:val="Paragraph"/>
      </w:pPr>
      <w:r>
        <w:rPr>
          <w:b/>
        </w:rPr>
        <w:t xml:space="preserve">Experience Across the M&amp;A Spectrum.</w:t>
      </w:r>
      <w:r>
        <w:br/>
      </w:r>
      <w:r>
        <w:t xml:space="preserve">We guide acquirors, sellers and targets through multiple types of M&amp;A transactions, including:</w:t>
      </w:r>
    </w:p>
    <w:p>
      <w:pPr>
        <w:pStyle w:val="ListBullet"/>
        <w:numPr>
          <w:ilvl w:val="0"/>
          <w:numId w:val="21"/>
        </w:numPr>
      </w:pPr>
      <w:r>
        <w:t xml:space="preserve">•  Domestic, cross-border and international mergers, acquisitions and dispositions</w:t>
      </w:r>
    </w:p>
    <w:p>
      <w:pPr>
        <w:pStyle w:val="ListBullet"/>
        <w:numPr>
          <w:ilvl w:val="0"/>
          <w:numId w:val="21"/>
        </w:numPr>
      </w:pPr>
      <w:r>
        <w:t xml:space="preserve">•  Private equity and strategic investments</w:t>
      </w:r>
    </w:p>
    <w:p>
      <w:pPr>
        <w:pStyle w:val="ListBullet"/>
        <w:numPr>
          <w:ilvl w:val="0"/>
          <w:numId w:val="21"/>
        </w:numPr>
      </w:pPr>
      <w:r>
        <w:t xml:space="preserve">•  Joint ventures</w:t>
      </w:r>
    </w:p>
    <w:p>
      <w:pPr>
        <w:pStyle w:val="ListBullet"/>
        <w:numPr>
          <w:ilvl w:val="0"/>
          <w:numId w:val="21"/>
        </w:numPr>
      </w:pPr>
      <w:r>
        <w:t xml:space="preserve">•  Spin-offs, split-ups and carve-outs</w:t>
      </w:r>
    </w:p>
    <w:p>
      <w:pPr>
        <w:pStyle w:val="Paragraph"/>
      </w:pPr>
      <w:r>
        <w:t xml:space="preserve">We also advise our clients in:</w:t>
      </w:r>
    </w:p>
    <w:p>
      <w:pPr>
        <w:pStyle w:val="ListBullet"/>
        <w:numPr>
          <w:ilvl w:val="0"/>
          <w:numId w:val="22"/>
        </w:numPr>
      </w:pPr>
      <w:r>
        <w:t xml:space="preserve">•  Corporate preparedness and anti-takeover strategies</w:t>
      </w:r>
    </w:p>
    <w:p>
      <w:pPr>
        <w:pStyle w:val="ListBullet"/>
        <w:numPr>
          <w:ilvl w:val="0"/>
          <w:numId w:val="22"/>
        </w:numPr>
      </w:pPr>
      <w:r>
        <w:t xml:space="preserve">•  Responses to unsolicited bids, tender offers and proxy contests</w:t>
      </w:r>
    </w:p>
    <w:p>
      <w:pPr>
        <w:pStyle w:val="ListBullet"/>
        <w:numPr>
          <w:ilvl w:val="0"/>
          <w:numId w:val="22"/>
        </w:numPr>
      </w:pPr>
      <w:r>
        <w:t xml:space="preserve">•  SPAC transactions</w:t>
      </w:r>
    </w:p>
    <w:p>
      <w:pPr>
        <w:pStyle w:val="Paragraph"/>
      </w:pPr>
      <w:r>
        <w:t xml:space="preserve">In addition to acting for principals in M&amp;A transactions, we also advise:</w:t>
      </w:r>
    </w:p>
    <w:p>
      <w:pPr>
        <w:pStyle w:val="ListBullet"/>
        <w:numPr>
          <w:ilvl w:val="0"/>
          <w:numId w:val="23"/>
        </w:numPr>
      </w:pPr>
      <w:r>
        <w:t xml:space="preserve">•  Special committees and individual directors</w:t>
      </w:r>
    </w:p>
    <w:p>
      <w:pPr>
        <w:pStyle w:val="ListBullet"/>
        <w:numPr>
          <w:ilvl w:val="0"/>
          <w:numId w:val="23"/>
        </w:numPr>
      </w:pPr>
      <w:r>
        <w:t xml:space="preserve">•  Financials advisors and other professionals</w:t>
      </w:r>
    </w:p>
    <w:p>
      <w:pPr>
        <w:pStyle w:val="ListBullet"/>
        <w:numPr>
          <w:ilvl w:val="0"/>
          <w:numId w:val="23"/>
        </w:numPr>
      </w:pPr>
      <w:r>
        <w:t xml:space="preserve">•  Financing sources</w:t>
      </w:r>
    </w:p>
    <w:p>
      <w:pPr>
        <w:pStyle w:val="Paragraph"/>
      </w:pPr>
      <w:r>
        <w:rPr>
          <w:b/>
        </w:rPr>
        <w:t xml:space="preserve">Connections to the Right Resources.</w:t>
      </w:r>
      <w:r>
        <w:br/>
      </w:r>
      <w:r>
        <w:t xml:space="preserve">The breadth of our practice allows us to complement our core M&amp;A teams with coordinated advice across more than 50 legal areas.</w:t>
      </w:r>
    </w:p>
    <w:p>
      <w:pPr>
        <w:pStyle w:val="Paragraph"/>
      </w:pPr>
      <w:r>
        <w:t xml:space="preserve">We tailor each cross-practice team we assemble around the client, the transaction and the guiding business objectives — regularly collaborating with our colleagues experienced in capital markets, tax, executive compensation and benefits, intellectual property, global human capital, and data, privacy and security.</w:t>
      </w:r>
    </w:p>
    <w:p>
      <w:pPr>
        <w:pStyle w:val="Paragraph"/>
      </w:pPr>
      <w:r>
        <w:t xml:space="preserve">Our M&amp;A team draws upon our practices in Trial and Global Disputes — where we have a remarkable record of success for our clients, both inside and outside the courtroom — and Government Matters — where we leverage decades of prior government service and industry expertise to provide our clients with insight in their most complex regulatory and enforcement challenges, including antitrust, national security, international trade and government investigations.  </w:t>
      </w:r>
    </w:p>
    <w:p>
      <w:pPr>
        <w:pStyle w:val="Paragraph"/>
      </w:pPr>
      <w:r>
        <w:t xml:space="preserve">Clients benefit from our combination of our broad, global capabilities with deep-seated business and sector knowledge across several priority industries, issues and regulatory frameworks, including technology, energy, life sciences, healthcare, real estate, transportation and logistics, financial services, aerospace and defense, among others that frequently come into play in our clients’ transactions.</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Timothy P. FitzSimons</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Chicago</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Jonathan B. Newton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Houston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Charles W. Katz</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Northern Virginia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Erik Belenky</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Laurent Bensaid</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Paris</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William F. Charnley</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London</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Band 3 Top-rank for Corporate M&amp;A in UAE</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Global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Band 1 for Corporate M&amp;A in Singapore</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Global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Band 1 for Corporate/M&amp;A in Texas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Global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2025-12-10</w:t>
      </w:r>
    </w:p>
    <w:p w14:paraId="636140DC" w14:textId="77777777" w:rsidR="001C65B2" w:rsidRDefault="001C65B2" w:rsidP="001C65B2">
      <w:pPr>
        <w:pStyle w:val="H3"/>
        <w:spacing w:before="0"/>
        <w:rPr>
          <w:caps w:val="0"/>
          <w:noProof w:val="0"/>
          <w:color w:val="483733" w:themeColor="text2"/>
        </w:rPr>
      </w:pPr>
      <w:r>
        <w:rPr>
          <w:caps w:val="0"/>
          <w:color w:val="483733" w:themeColor="text2"/>
        </w:rPr>
        <w:t>Natura Resources Acquires Shepherd Power from NOV Inc. (NYSE: NOV)</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2025-12-10</w:t>
      </w:r>
    </w:p>
    <w:p w14:paraId="636140DC" w14:textId="77777777" w:rsidR="001C65B2" w:rsidRDefault="001C65B2" w:rsidP="001C65B2">
      <w:pPr>
        <w:pStyle w:val="H3"/>
        <w:spacing w:before="0"/>
        <w:rPr>
          <w:caps w:val="0"/>
          <w:noProof w:val="0"/>
          <w:color w:val="483733" w:themeColor="text2"/>
        </w:rPr>
      </w:pPr>
      <w:r>
        <w:rPr>
          <w:caps w:val="0"/>
          <w:color w:val="483733" w:themeColor="text2"/>
        </w:rPr>
        <w:t>MANTECH, a Carlyle portfolio company, Acquires Elder Research</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2025-12-09</w:t>
      </w:r>
    </w:p>
    <w:p w14:paraId="636140DC" w14:textId="77777777" w:rsidR="001C65B2" w:rsidRDefault="001C65B2" w:rsidP="001C65B2">
      <w:pPr>
        <w:pStyle w:val="H3"/>
        <w:spacing w:before="0"/>
        <w:rPr>
          <w:caps w:val="0"/>
          <w:noProof w:val="0"/>
          <w:color w:val="483733" w:themeColor="text2"/>
        </w:rPr>
      </w:pPr>
      <w:r>
        <w:rPr>
          <w:caps w:val="0"/>
          <w:color w:val="483733" w:themeColor="text2"/>
        </w:rPr>
        <w:t>Argo Infrastructure Increases Capital Commitment to Tierpoint</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2025-12-11</w:t>
      </w:r>
    </w:p>
    <w:p w14:paraId="38DC0FB2" w14:textId="77777777" w:rsidR="0046190E" w:rsidRDefault="0046190E" w:rsidP="0046190E">
      <w:pPr>
        <w:pStyle w:val="H3"/>
        <w:spacing w:before="0"/>
        <w:rPr>
          <w:caps w:val="0"/>
          <w:noProof w:val="0"/>
          <w:color w:val="483733" w:themeColor="text2"/>
        </w:rPr>
      </w:pPr>
      <w:r>
        <w:rPr>
          <w:caps w:val="0"/>
          <w:color w:val="483733" w:themeColor="text2"/>
        </w:rPr>
        <w:t>EU &amp; UK AI Round-up - December 2025</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2025-12-08</w:t>
      </w:r>
    </w:p>
    <w:p w14:paraId="38DC0FB2" w14:textId="77777777" w:rsidR="0046190E" w:rsidRDefault="0046190E" w:rsidP="0046190E">
      <w:pPr>
        <w:pStyle w:val="H3"/>
        <w:spacing w:before="0"/>
        <w:rPr>
          <w:caps w:val="0"/>
          <w:noProof w:val="0"/>
          <w:color w:val="483733" w:themeColor="text2"/>
        </w:rPr>
      </w:pPr>
      <w:r>
        <w:rPr>
          <w:caps w:val="0"/>
          <w:color w:val="483733" w:themeColor="text2"/>
        </w:rPr>
        <w:t>Exercising caution in relying on the ‘Obligors’ Agent’ construct</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2025-12-03</w:t>
      </w:r>
    </w:p>
    <w:p w14:paraId="38DC0FB2" w14:textId="77777777" w:rsidR="0046190E" w:rsidRDefault="0046190E" w:rsidP="0046190E">
      <w:pPr>
        <w:pStyle w:val="H3"/>
        <w:spacing w:before="0"/>
        <w:rPr>
          <w:caps w:val="0"/>
          <w:noProof w:val="0"/>
          <w:color w:val="483733" w:themeColor="text2"/>
        </w:rPr>
      </w:pPr>
      <w:r>
        <w:rPr>
          <w:caps w:val="0"/>
          <w:color w:val="483733" w:themeColor="text2"/>
        </w:rPr>
        <w:t>Deemed Fulfilment Dethroned: UK Supreme Court Gives Important Decision on Conditions Precedent</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2025-11-17</w:t>
      </w:r>
    </w:p>
    <w:p w14:paraId="4BD15F45" w14:textId="77777777" w:rsidR="009816A0" w:rsidRDefault="009816A0" w:rsidP="009816A0">
      <w:pPr>
        <w:pStyle w:val="H3"/>
        <w:spacing w:before="0"/>
        <w:rPr>
          <w:caps w:val="0"/>
          <w:noProof w:val="0"/>
          <w:color w:val="483733" w:themeColor="text2"/>
        </w:rPr>
      </w:pPr>
      <w:r>
        <w:rPr>
          <w:caps w:val="0"/>
          <w:color w:val="483733" w:themeColor="text2"/>
        </w:rPr>
        <w:t>Jennifer Morgan to Speak at the Commercial Observer</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2025-07-25</w:t>
      </w:r>
    </w:p>
    <w:p w14:paraId="4BD15F45" w14:textId="77777777" w:rsidR="009816A0" w:rsidRDefault="009816A0" w:rsidP="009816A0">
      <w:pPr>
        <w:pStyle w:val="H3"/>
        <w:spacing w:before="0"/>
        <w:rPr>
          <w:caps w:val="0"/>
          <w:noProof w:val="0"/>
          <w:color w:val="483733" w:themeColor="text2"/>
        </w:rPr>
      </w:pPr>
      <w:r>
        <w:rPr>
          <w:caps w:val="0"/>
          <w:color w:val="483733" w:themeColor="text2"/>
        </w:rPr>
        <w:t>George Hwang and Elizabeth Allan to Speak at the Russell Innovation Center for Entrepreneurs (RICE) Startup Checkup event</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2025-03-28</w:t>
      </w:r>
    </w:p>
    <w:p w14:paraId="4BD15F45" w14:textId="77777777" w:rsidR="009816A0" w:rsidRDefault="009816A0" w:rsidP="009816A0">
      <w:pPr>
        <w:pStyle w:val="H3"/>
        <w:spacing w:before="0"/>
        <w:rPr>
          <w:caps w:val="0"/>
          <w:noProof w:val="0"/>
          <w:color w:val="483733" w:themeColor="text2"/>
        </w:rPr>
      </w:pPr>
      <w:r>
        <w:rPr>
          <w:caps w:val="0"/>
          <w:color w:val="483733" w:themeColor="text2"/>
        </w:rPr>
        <w:t>Mark Schlackman and Taylor Robbins to Speak at CLE webinar series</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2025-12-05</w:t>
      </w:r>
    </w:p>
    <w:p w14:paraId="5700260F" w14:textId="77777777" w:rsidR="00F21DCE" w:rsidRDefault="00F21DCE" w:rsidP="00F21DCE">
      <w:pPr>
        <w:pStyle w:val="H3"/>
        <w:spacing w:before="0"/>
        <w:rPr>
          <w:caps w:val="0"/>
          <w:noProof w:val="0"/>
          <w:color w:val="483733" w:themeColor="text2"/>
        </w:rPr>
      </w:pPr>
      <w:r>
        <w:rPr>
          <w:caps w:val="0"/>
          <w:color w:val="483733" w:themeColor="text2"/>
        </w:rPr>
        <w:t>K&amp;S advises Eagle Merchant Partners on its strategic investment in Atlantic Pipe Services</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2025-12-04</w:t>
      </w:r>
    </w:p>
    <w:p w14:paraId="5700260F" w14:textId="77777777" w:rsidR="00F21DCE" w:rsidRDefault="00F21DCE" w:rsidP="00F21DCE">
      <w:pPr>
        <w:pStyle w:val="H3"/>
        <w:spacing w:before="0"/>
        <w:rPr>
          <w:caps w:val="0"/>
          <w:noProof w:val="0"/>
          <w:color w:val="483733" w:themeColor="text2"/>
        </w:rPr>
      </w:pPr>
      <w:r>
        <w:rPr>
          <w:caps w:val="0"/>
          <w:color w:val="483733" w:themeColor="text2"/>
        </w:rPr>
        <w:t>K&amp;S counsels Abu Dhabi National Energy Company PJSC and Dubal Holding</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2025-12-01</w:t>
      </w:r>
    </w:p>
    <w:p w14:paraId="5700260F" w14:textId="77777777" w:rsidR="00F21DCE" w:rsidRDefault="00F21DCE" w:rsidP="00F21DCE">
      <w:pPr>
        <w:pStyle w:val="H3"/>
        <w:spacing w:before="0"/>
        <w:rPr>
          <w:caps w:val="0"/>
          <w:noProof w:val="0"/>
          <w:color w:val="483733" w:themeColor="text2"/>
        </w:rPr>
      </w:pPr>
      <w:r>
        <w:rPr>
          <w:caps w:val="0"/>
          <w:color w:val="483733" w:themeColor="text2"/>
        </w:rPr>
        <w:t>Cal Smith, John Anderson and Jacob Weber advise PROG Holdings on its $420M acquisition of Purchasing Power</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 w:numId="21">
    <w:abstractNumId w:val="20"/>
  </w:num>
  <w:num w:numId="22">
    <w:abstractNumId w:val="21"/>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32" TargetMode="External" Id="rId13"/><Relationship Type="http://schemas.openxmlformats.org/officeDocument/2006/relationships/hyperlink" Target="https://www.kslaw.com/news-and-insights?capability_id=32&amp;post_category_id=1&amp;post_type=0" TargetMode="External" Id="rId14"/><Relationship Type="http://schemas.openxmlformats.org/officeDocument/2006/relationships/hyperlink" Target="https://www.kslaw.com/news-and-insights?capability_id=32&amp;post_type=2" TargetMode="External" Id="rId15"/><Relationship Type="http://schemas.openxmlformats.org/officeDocument/2006/relationships/hyperlink" Target="https://www.kslaw.com/news-and-insights?capability_id=32&amp;post_type=1" TargetMode="External" Id="rId16"/><Relationship Type="http://schemas.openxmlformats.org/officeDocument/2006/relationships/hyperlink" Target="https://www.kslaw.com/news-and-insights?capability_id=32&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