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Life Sciences and Healthcare</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Our team guides life sciences and healthcare companies through the complex compliance obligations, transactions and litigation that enable them to advance the breakthrough treatments and services that improve patient health. We combine extensive life sciences industry capabilities and our long history as a leading healthcare industry adviser to counsel clients across the delivery system on FDA law, health law, product liability, M&amp;A, appellate litigation, data privacy and security, government advocacy and more.</w:t>
      </w:r>
    </w:p>
    <w:p>
      <w:pPr>
        <w:pStyle w:val="Paragraph"/>
      </w:pPr>
      <w:r>
        <w:rPr>
          <w:b/>
        </w:rPr>
        <w:t xml:space="preserve">An established leader in life sciences and healthcare.</w:t>
      </w:r>
      <w:r>
        <w:t xml:space="preserve"> We have a long history as the firm of choice for pharmaceutical, biologics and medical device manufacturers and major hospitals and health systems. The </w:t>
      </w:r>
      <w:r>
        <w:rPr>
          <w:i/>
        </w:rPr>
        <w:t xml:space="preserve">Chambers</w:t>
      </w:r>
      <w:r>
        <w:t xml:space="preserve"> and </w:t>
      </w:r>
      <w:r>
        <w:rPr>
          <w:i/>
        </w:rPr>
        <w:t xml:space="preserve">Legal 500</w:t>
      </w:r>
      <w:r>
        <w:t xml:space="preserve"> guides consistently rank our practice and its lawyers among the best in the life sciences and healthcare field.</w:t>
      </w:r>
    </w:p>
    <w:p>
      <w:pPr>
        <w:pStyle w:val="Paragraph"/>
      </w:pPr>
      <w:r>
        <w:rPr>
          <w:b/>
        </w:rPr>
        <w:t xml:space="preserve">At the forefront of industry innovation.</w:t>
      </w:r>
      <w:r>
        <w:t xml:space="preserve"> We assist development-stage clients operating in emerging areas where technology intersects with medical care, including precision medicine, artificial intelligence, and innovations in digital health. </w:t>
      </w:r>
    </w:p>
    <w:p>
      <w:pPr>
        <w:pStyle w:val="Paragraph"/>
      </w:pPr>
      <w:r>
        <w:rPr>
          <w:b/>
        </w:rPr>
        <w:t xml:space="preserve">Bringing the right resources to the table.</w:t>
      </w:r>
      <w:r>
        <w:t xml:space="preserve"> We anticipate shifting market trends and grow and evolve our team to help our clients respond to them. Most recently, we have expanded our capabilities in food and beverage litigation, biologics counseling, global human global human capital and compliance, and government contracts, among other areas.  </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Mark D. Polston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Nikki Reeves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James W. Boswell III (Jim)</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Mark S. Brown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Richard Zall (Rick)</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Adam C. Solander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Named Firm of the Year for FDA Litigation &amp; Enforcement</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LMG Life Sciences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Tier 1 for FDA: Medical Device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LMG Life Sciences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Recognized as one of the leading firms for FDA: Pharmaceutical</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LMG Life Sciences 2024  </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2025-11-25</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Another Victory for Boehringer Ingelheim in Zantac-Related Trial</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2025-10-10</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Significant Victory for R.J. Reynolds</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2025-08-28</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Another Victory for Boehringer Ingelheim in Zantac-Related Trial</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2025-12-09</w:t>
      </w:r>
    </w:p>
    <w:p w14:paraId="38DC0FB2" w14:textId="77777777" w:rsidR="0046190E" w:rsidRDefault="0046190E" w:rsidP="0046190E">
      <w:pPr>
        <w:pStyle w:val="H3"/>
        <w:spacing w:before="0"/>
        <w:rPr>
          <w:caps w:val="0"/>
          <w:noProof w:val="0"/>
          <w:color w:val="483733" w:themeColor="text2"/>
        </w:rPr>
      </w:pPr>
      <w:r>
        <w:rPr>
          <w:caps w:val="0"/>
          <w:color w:val="483733" w:themeColor="text2"/>
        </w:rPr>
        <w:t>The Legal 500 Country Comparative Guides: United States Pharmaceutical Advertising</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2025-11-19</w:t>
      </w:r>
    </w:p>
    <w:p w14:paraId="38DC0FB2" w14:textId="77777777" w:rsidR="0046190E" w:rsidRDefault="0046190E" w:rsidP="0046190E">
      <w:pPr>
        <w:pStyle w:val="H3"/>
        <w:spacing w:before="0"/>
        <w:rPr>
          <w:caps w:val="0"/>
          <w:noProof w:val="0"/>
          <w:color w:val="483733" w:themeColor="text2"/>
        </w:rPr>
      </w:pPr>
      <w:r>
        <w:rPr>
          <w:caps w:val="0"/>
          <w:color w:val="483733" w:themeColor="text2"/>
        </w:rPr>
        <w:t>2026 Physician Fee Schedule Final Rule Changes to ASP Calculation and Reporting Policies and Other Drug Payment Policies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2025-10-06</w:t>
      </w:r>
    </w:p>
    <w:p w14:paraId="38DC0FB2" w14:textId="77777777" w:rsidR="0046190E" w:rsidRDefault="0046190E" w:rsidP="0046190E">
      <w:pPr>
        <w:pStyle w:val="H3"/>
        <w:spacing w:before="0"/>
        <w:rPr>
          <w:caps w:val="0"/>
          <w:noProof w:val="0"/>
          <w:color w:val="483733" w:themeColor="text2"/>
        </w:rPr>
      </w:pPr>
      <w:r>
        <w:rPr>
          <w:caps w:val="0"/>
          <w:color w:val="483733" w:themeColor="text2"/>
        </w:rPr>
        <w:t>Drug Ad Crackdown Demonstrates Admin's Aggressive Stance</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Conference</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2026-03-12</w:t>
      </w:r>
    </w:p>
    <w:p w14:paraId="4BD15F45" w14:textId="77777777" w:rsidR="009816A0" w:rsidRDefault="009816A0" w:rsidP="009816A0">
      <w:pPr>
        <w:pStyle w:val="H3"/>
        <w:spacing w:before="0"/>
        <w:rPr>
          <w:caps w:val="0"/>
          <w:noProof w:val="0"/>
          <w:color w:val="483733" w:themeColor="text2"/>
        </w:rPr>
      </w:pPr>
      <w:r>
        <w:rPr>
          <w:caps w:val="0"/>
          <w:color w:val="483733" w:themeColor="text2"/>
        </w:rPr>
        <w:t>35th Annual King &amp; Spalding Health Law &amp; Policy Forum</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2025-12-08</w:t>
      </w:r>
    </w:p>
    <w:p w14:paraId="4BD15F45" w14:textId="77777777" w:rsidR="009816A0" w:rsidRDefault="009816A0" w:rsidP="009816A0">
      <w:pPr>
        <w:pStyle w:val="H3"/>
        <w:spacing w:before="0"/>
        <w:rPr>
          <w:caps w:val="0"/>
          <w:noProof w:val="0"/>
          <w:color w:val="483733" w:themeColor="text2"/>
        </w:rPr>
      </w:pPr>
      <w:r>
        <w:rPr>
          <w:caps w:val="0"/>
          <w:color w:val="483733" w:themeColor="text2"/>
        </w:rPr>
        <w:t>Ulf Grundmann to Speak at Frankfurt School of Finance and Management’s International Healthcare Management MBA program</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Webinar</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2025-11-20</w:t>
      </w:r>
    </w:p>
    <w:p w14:paraId="4BD15F45" w14:textId="77777777" w:rsidR="009816A0" w:rsidRDefault="009816A0" w:rsidP="009816A0">
      <w:pPr>
        <w:pStyle w:val="H3"/>
        <w:spacing w:before="0"/>
        <w:rPr>
          <w:caps w:val="0"/>
          <w:noProof w:val="0"/>
          <w:color w:val="483733" w:themeColor="text2"/>
        </w:rPr>
      </w:pPr>
      <w:r>
        <w:rPr>
          <w:caps w:val="0"/>
          <w:color w:val="483733" w:themeColor="text2"/>
        </w:rPr>
        <w:t>Pricing and Reimbursement in Europe</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2025-12-05</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is recognized in this week’s Law.com Litigator of the Week Runners Up for their victory on behalf of Boehringer Ingelheim in a Zantac-related jury trial before an Illinois state court</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2025-11-18</w:t>
      </w:r>
    </w:p>
    <w:p w14:paraId="5700260F" w14:textId="77777777" w:rsidR="00F21DCE" w:rsidRDefault="00F21DCE" w:rsidP="00F21DCE">
      <w:pPr>
        <w:pStyle w:val="H3"/>
        <w:spacing w:before="0"/>
        <w:rPr>
          <w:caps w:val="0"/>
          <w:noProof w:val="0"/>
          <w:color w:val="483733" w:themeColor="text2"/>
        </w:rPr>
      </w:pPr>
      <w:r>
        <w:rPr>
          <w:caps w:val="0"/>
          <w:color w:val="483733" w:themeColor="text2"/>
        </w:rPr>
        <w:t>King &amp; Spalding’s German Banking &amp; Finance Team and Partner Ulf Grundmann Named as Finalists for 2026 Legal 500 Germany Awards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2025-11-17</w:t>
      </w:r>
    </w:p>
    <w:p w14:paraId="5700260F" w14:textId="77777777" w:rsidR="00F21DCE" w:rsidRDefault="00F21DCE" w:rsidP="00F21DCE">
      <w:pPr>
        <w:pStyle w:val="H3"/>
        <w:spacing w:before="0"/>
        <w:rPr>
          <w:caps w:val="0"/>
          <w:noProof w:val="0"/>
          <w:color w:val="483733" w:themeColor="text2"/>
        </w:rPr>
      </w:pPr>
      <w:r>
        <w:rPr>
          <w:caps w:val="0"/>
          <w:color w:val="483733" w:themeColor="text2"/>
        </w:rPr>
        <w:t>Antitrust Partner John Carroll Returns to King &amp; Spalding in Washington, D.C.</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03" TargetMode="External" Id="rId13"/><Relationship Type="http://schemas.openxmlformats.org/officeDocument/2006/relationships/hyperlink" Target="https://www.kslaw.com/news-and-insights?capability_id=103&amp;post_category_id=1&amp;post_type=0" TargetMode="External" Id="rId14"/><Relationship Type="http://schemas.openxmlformats.org/officeDocument/2006/relationships/hyperlink" Target="https://www.kslaw.com/news-and-insights?capability_id=103&amp;post_type=2" TargetMode="External" Id="rId15"/><Relationship Type="http://schemas.openxmlformats.org/officeDocument/2006/relationships/hyperlink" Target="https://www.kslaw.com/news-and-insights?capability_id=103&amp;post_type=1" TargetMode="External" Id="rId16"/><Relationship Type="http://schemas.openxmlformats.org/officeDocument/2006/relationships/hyperlink" Target="https://www.kslaw.com/news-and-insights?capability_id=103&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