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Labor and Employment</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Employment discrimination class and collective actions, nationwide government enforcement actions and disputes with senior officers threaten the finances of the company, its brand and the reputations of its officers, directors and employees. Our trial lawyers represent companies in a broad array of industries in high profile lawsuits and government investigations.</w:t>
      </w:r>
    </w:p>
    <w:p>
      <w:pPr>
        <w:pStyle w:val="Paragraph"/>
      </w:pPr>
      <w:r>
        <w:t xml:space="preserve">Our employment and appellate lawyers secured a victory in the Supreme Court in a case that has been recognized as one of the most important employment law decisions in recent years. The senior in-house employment lawyer of a major multinational company recently described Michael Johnston as "one of the best, most experienced employment trial lawyers in the country."</w:t>
      </w:r>
    </w:p>
    <w:p>
      <w:pPr>
        <w:pStyle w:val="Paragraph"/>
      </w:pPr>
      <w:r>
        <w:t xml:space="preserve">The success of most companies today rests heavily on their trade secrets and confidential information. Yet, purloining that information is easier than ever before. Our employment team includes a number of lawyers with wide-ranging experience drafting and enforcing, through litigation if necessary, agreements to protect trade secrets and confidential information.</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David Tetrick, Jr.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Recognized as an Employment Practice Group of the Year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 2017</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2017-01-12</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Mueller Water Products on Sale of Anvil International Division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2016-11-15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GE Digital on $915 Million ServiceMax Acquisition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2014-12-05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Arbor Pharmaceuticals in Minority-Stake Sale to KKR</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2025-11-21</w:t>
      </w:r>
    </w:p>
    <w:p w14:paraId="38DC0FB2" w14:textId="77777777" w:rsidR="0046190E" w:rsidRDefault="0046190E" w:rsidP="0046190E">
      <w:pPr>
        <w:pStyle w:val="H3"/>
        <w:spacing w:before="0"/>
        <w:rPr>
          <w:caps w:val="0"/>
          <w:noProof w:val="0"/>
          <w:color w:val="483733" w:themeColor="text2"/>
        </w:rPr>
      </w:pPr>
      <w:r>
        <w:rPr>
          <w:caps w:val="0"/>
          <w:color w:val="483733" w:themeColor="text2"/>
        </w:rPr>
        <w:t>Non-competition and transfer of shares: beware of the partner who has become an employee!</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2025-10-29</w:t>
      </w:r>
    </w:p>
    <w:p w14:paraId="38DC0FB2" w14:textId="77777777" w:rsidR="0046190E" w:rsidRDefault="0046190E" w:rsidP="0046190E">
      <w:pPr>
        <w:pStyle w:val="H3"/>
        <w:spacing w:before="0"/>
        <w:rPr>
          <w:caps w:val="0"/>
          <w:noProof w:val="0"/>
          <w:color w:val="483733" w:themeColor="text2"/>
        </w:rPr>
      </w:pPr>
      <w:r>
        <w:rPr>
          <w:caps w:val="0"/>
          <w:color w:val="483733" w:themeColor="text2"/>
        </w:rPr>
        <w:t>MHRSD and MoJ Recognize Wage Clause in Employment Contracts as Enforceable to Speed Up Labor Dispute Resolution</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2025-10-29</w:t>
      </w:r>
    </w:p>
    <w:p w14:paraId="38DC0FB2" w14:textId="77777777" w:rsidR="0046190E" w:rsidRDefault="0046190E" w:rsidP="0046190E">
      <w:pPr>
        <w:pStyle w:val="H3"/>
        <w:spacing w:before="0"/>
        <w:rPr>
          <w:caps w:val="0"/>
          <w:noProof w:val="0"/>
          <w:color w:val="483733" w:themeColor="text2"/>
        </w:rPr>
      </w:pPr>
      <w:r>
        <w:rPr>
          <w:caps w:val="0"/>
          <w:color w:val="483733" w:themeColor="text2"/>
        </w:rPr>
        <w:t>MHRSD and MoJ Recognize Wage Clause in Employment Contracts as Enforceable to Speed Up Labor Dispute Resolution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2024-01-24</w:t>
      </w:r>
    </w:p>
    <w:p w14:paraId="4BD15F45" w14:textId="77777777" w:rsidR="009816A0" w:rsidRDefault="009816A0" w:rsidP="009816A0">
      <w:pPr>
        <w:pStyle w:val="H3"/>
        <w:spacing w:before="0"/>
        <w:rPr>
          <w:caps w:val="0"/>
          <w:noProof w:val="0"/>
          <w:color w:val="483733" w:themeColor="text2"/>
        </w:rPr>
      </w:pPr>
      <w:r>
        <w:rPr>
          <w:caps w:val="0"/>
          <w:color w:val="483733" w:themeColor="text2"/>
        </w:rPr>
        <w:t>California MCLE Institute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2023-04-14</w:t>
      </w:r>
    </w:p>
    <w:p w14:paraId="4BD15F45" w14:textId="77777777" w:rsidR="009816A0" w:rsidRDefault="009816A0" w:rsidP="009816A0">
      <w:pPr>
        <w:pStyle w:val="H3"/>
        <w:spacing w:before="0"/>
        <w:rPr>
          <w:caps w:val="0"/>
          <w:noProof w:val="0"/>
          <w:color w:val="483733" w:themeColor="text2"/>
        </w:rPr>
      </w:pPr>
      <w:r>
        <w:rPr>
          <w:caps w:val="0"/>
          <w:color w:val="483733" w:themeColor="text2"/>
        </w:rPr>
        <w:t>Hanna Azkiya to Speak at Event Co-Hosted by Justice Without Borders and Tan Kok Quan Partnership</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2017-03-20</w:t>
      </w:r>
    </w:p>
    <w:p w14:paraId="4BD15F45" w14:textId="77777777" w:rsidR="009816A0" w:rsidRDefault="009816A0" w:rsidP="009816A0">
      <w:pPr>
        <w:pStyle w:val="H3"/>
        <w:spacing w:before="0"/>
        <w:rPr>
          <w:caps w:val="0"/>
          <w:noProof w:val="0"/>
          <w:color w:val="483733" w:themeColor="text2"/>
        </w:rPr>
      </w:pPr>
      <w:r>
        <w:rPr>
          <w:caps w:val="0"/>
          <w:color w:val="483733" w:themeColor="text2"/>
        </w:rPr>
        <w:t>26th Annual Health Law &amp; Policy Forum</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2025-12-01</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advises Home Depot before the Eleventh Circuit, which rejected an appeal by a former Home Depot worker in a proposed class action alleging the company misspent forfeited employer contributions in its employee 401(k) plan</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2025-10-17</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conducts an external investigation for Fairfax County Public Schools in response to two federal inquiries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2025-10-09</w:t>
      </w:r>
    </w:p>
    <w:p w14:paraId="5700260F" w14:textId="77777777" w:rsidR="00F21DCE" w:rsidRDefault="00F21DCE" w:rsidP="00F21DCE">
      <w:pPr>
        <w:pStyle w:val="H3"/>
        <w:spacing w:before="0"/>
        <w:rPr>
          <w:caps w:val="0"/>
          <w:noProof w:val="0"/>
          <w:color w:val="483733" w:themeColor="text2"/>
        </w:rPr>
      </w:pPr>
      <w:r>
        <w:rPr>
          <w:caps w:val="0"/>
          <w:color w:val="483733" w:themeColor="text2"/>
        </w:rPr>
        <w:t>Sam Rubinstein comments on a recent California bill allowing employees to take certain complaints to the state's Public Employee Relations Board rather than the NLRB</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5" TargetMode="External" Id="rId13"/><Relationship Type="http://schemas.openxmlformats.org/officeDocument/2006/relationships/hyperlink" Target="https://www.kslaw.com/news-and-insights?capability_id=15&amp;post_category_id=1&amp;post_type=0" TargetMode="External" Id="rId14"/><Relationship Type="http://schemas.openxmlformats.org/officeDocument/2006/relationships/hyperlink" Target="https://www.kslaw.com/news-and-insights?capability_id=15&amp;post_type=2" TargetMode="External" Id="rId15"/><Relationship Type="http://schemas.openxmlformats.org/officeDocument/2006/relationships/hyperlink" Target="https://www.kslaw.com/news-and-insights?capability_id=15&amp;post_type=1" TargetMode="External" Id="rId16"/><Relationship Type="http://schemas.openxmlformats.org/officeDocument/2006/relationships/hyperlink" Target="https://www.kslaw.com/news-and-insights?capability_id=15&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