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Middle East and Islamic Finance and Investment</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lawyers in Dubai, Abu Dhabi and Riyadh anchor an international team that works on behalf of financial institutions, energy, construction, healthcare, real estate, private equity, shipping and aviation companies seeking to invest or finance commercial projects in compliance with Islamic </w:t>
      </w:r>
      <w:r>
        <w:rPr>
          <w:i/>
        </w:rPr>
        <w:t xml:space="preserve">Shari’ah</w:t>
      </w:r>
      <w:r>
        <w:t xml:space="preserve"> principles as well as conventional financing. Informed by decades of experience in the Middle East, our Islamic Finance and Investment team guides financial institutions and businesses in navigating the regulatory, political and commercial environment of the region.</w:t>
      </w:r>
    </w:p>
    <w:p>
      <w:pPr>
        <w:pStyle w:val="Paragraph"/>
      </w:pPr>
      <w:r>
        <w:t xml:space="preserve">Serving Islamic and conventional financial institutions, merchant and investment banks, venture capital and private equity funds, fund sponsors and family investment companies, our team has helped to structure and implement billions of U.S. dollars in complex, innovative, often first of their kind transactions since 1995.</w:t>
      </w:r>
    </w:p>
    <w:p>
      <w:pPr>
        <w:pStyle w:val="Paragraph"/>
      </w:pPr>
      <w:r>
        <w:t xml:space="preserve">The team has developed a strong and highly respected working relation with leading </w:t>
      </w:r>
      <w:r>
        <w:rPr>
          <w:i/>
        </w:rPr>
        <w:t xml:space="preserve">Shari’ah</w:t>
      </w:r>
      <w:r>
        <w:t xml:space="preserve"> scholars, which allows the team to develop investment and financing instruments in the Middle East, Europe and the U.S. that are compliant, practical and efficient. Typical transactions have included:</w:t>
      </w:r>
    </w:p>
    <w:p>
      <w:pPr>
        <w:pStyle w:val="ListBullet"/>
        <w:numPr>
          <w:ilvl w:val="0"/>
          <w:numId w:val="21"/>
        </w:numPr>
      </w:pPr>
      <w:r>
        <w:t xml:space="preserve">•  
</w:t>
      </w:r>
      <w:r>
        <w:rPr>
          <w:i/>
        </w:rPr>
        <w:t xml:space="preserve">Shari’ah</w:t>
      </w:r>
      <w:r>
        <w:t xml:space="preserve">-compliant property funds valued at nearly US$10 billion;</w:t>
      </w:r>
    </w:p>
    <w:p>
      <w:pPr>
        <w:pStyle w:val="ListBullet"/>
        <w:numPr>
          <w:ilvl w:val="0"/>
          <w:numId w:val="21"/>
        </w:numPr>
      </w:pPr>
      <w:r>
        <w:t xml:space="preserve">•  private equity funds valued in excess of US$6 billion;</w:t>
      </w:r>
    </w:p>
    <w:p>
      <w:pPr>
        <w:pStyle w:val="ListBullet"/>
        <w:numPr>
          <w:ilvl w:val="0"/>
          <w:numId w:val="21"/>
        </w:numPr>
      </w:pPr>
      <w:r>
        <w:t xml:space="preserve">•  
</w:t>
      </w:r>
      <w:r>
        <w:rPr>
          <w:i/>
        </w:rPr>
        <w:t xml:space="preserve">Shari’ah</w:t>
      </w:r>
      <w:r>
        <w:t xml:space="preserve">-compliant “sidecar” funds;</w:t>
      </w:r>
    </w:p>
    <w:p>
      <w:pPr>
        <w:pStyle w:val="ListBullet"/>
        <w:numPr>
          <w:ilvl w:val="0"/>
          <w:numId w:val="21"/>
        </w:numPr>
      </w:pPr>
      <w:r>
        <w:t xml:space="preserve">•  the acquisition, financing and development of properties in the U.S., Europe and the Middle East;</w:t>
      </w:r>
    </w:p>
    <w:p>
      <w:pPr>
        <w:pStyle w:val="ListBullet"/>
        <w:numPr>
          <w:ilvl w:val="0"/>
          <w:numId w:val="21"/>
        </w:numPr>
      </w:pPr>
      <w:r>
        <w:t xml:space="preserve">•  
</w:t>
      </w:r>
      <w:r>
        <w:rPr>
          <w:i/>
        </w:rPr>
        <w:t xml:space="preserve">Shari’ah</w:t>
      </w:r>
      <w:r>
        <w:t xml:space="preserve">-compliant leveraged private equity acquisitions in the U.S., and acquisitions made in Europe and the Middle East;</w:t>
      </w:r>
    </w:p>
    <w:p>
      <w:pPr>
        <w:pStyle w:val="ListBullet"/>
        <w:numPr>
          <w:ilvl w:val="0"/>
          <w:numId w:val="21"/>
        </w:numPr>
      </w:pPr>
      <w:r>
        <w:t xml:space="preserve">•  landmark </w:t>
      </w:r>
      <w:r>
        <w:rPr>
          <w:i/>
        </w:rPr>
        <w:t xml:space="preserve">sukuk</w:t>
      </w:r>
      <w:r>
        <w:t xml:space="preserve"> transactions and first-time </w:t>
      </w:r>
      <w:r>
        <w:rPr>
          <w:i/>
        </w:rPr>
        <w:t xml:space="preserve">Shari’ah</w:t>
      </w:r>
      <w:r>
        <w:t xml:space="preserve">-compliant financing structures;</w:t>
      </w:r>
    </w:p>
    <w:p>
      <w:pPr>
        <w:pStyle w:val="ListBullet"/>
        <w:numPr>
          <w:ilvl w:val="0"/>
          <w:numId w:val="21"/>
        </w:numPr>
      </w:pPr>
      <w:r>
        <w:t xml:space="preserve">•  
</w:t>
      </w:r>
      <w:r>
        <w:rPr>
          <w:i/>
        </w:rPr>
        <w:t xml:space="preserve">Shari’ah</w:t>
      </w:r>
      <w:r>
        <w:t xml:space="preserve">-compliant project financings in the Middle East, including energy, desalination, residential and commercial projects;</w:t>
      </w:r>
    </w:p>
    <w:p>
      <w:pPr>
        <w:pStyle w:val="ListBullet"/>
        <w:numPr>
          <w:ilvl w:val="0"/>
          <w:numId w:val="21"/>
        </w:numPr>
      </w:pPr>
      <w:r>
        <w:t xml:space="preserve">•  the restructuring of </w:t>
      </w:r>
      <w:r>
        <w:rPr>
          <w:i/>
        </w:rPr>
        <w:t xml:space="preserve">Shari’ah</w:t>
      </w:r>
      <w:r>
        <w:t xml:space="preserve">-compliant investments; and</w:t>
      </w:r>
    </w:p>
    <w:p>
      <w:pPr>
        <w:pStyle w:val="ListBullet"/>
        <w:numPr>
          <w:ilvl w:val="0"/>
          <w:numId w:val="21"/>
        </w:numPr>
      </w:pPr>
      <w:r>
        <w:t xml:space="preserve">•  the formation of </w:t>
      </w:r>
      <w:r>
        <w:rPr>
          <w:i/>
        </w:rPr>
        <w:t xml:space="preserve">Shari’ah</w:t>
      </w:r>
      <w:r>
        <w:t xml:space="preserve">-compliant equities funds. </w:t>
      </w:r>
    </w:p>
    <w:p>
      <w:pPr>
        <w:pStyle w:val="Paragraph"/>
      </w:pPr>
      <w:r>
        <w:t xml:space="preserve">We work with many of the world’s leading financial institutions and development companies, including:</w:t>
      </w:r>
    </w:p>
    <w:p>
      <w:pPr>
        <w:pStyle w:val="ListBullet"/>
        <w:numPr>
          <w:ilvl w:val="0"/>
          <w:numId w:val="22"/>
        </w:numPr>
      </w:pPr>
      <w:r>
        <w:t xml:space="preserve">•  ACWA Power</w:t>
      </w:r>
    </w:p>
    <w:p>
      <w:pPr>
        <w:pStyle w:val="ListBullet"/>
        <w:numPr>
          <w:ilvl w:val="0"/>
          <w:numId w:val="22"/>
        </w:numPr>
      </w:pPr>
      <w:r>
        <w:t xml:space="preserve">•  Al Rajhi Holdings</w:t>
      </w:r>
    </w:p>
    <w:p>
      <w:pPr>
        <w:pStyle w:val="ListBullet"/>
        <w:numPr>
          <w:ilvl w:val="0"/>
          <w:numId w:val="22"/>
        </w:numPr>
      </w:pPr>
      <w:r>
        <w:t xml:space="preserve">•  Al Romaizan Company for Gold &amp; Jewellery</w:t>
      </w:r>
    </w:p>
    <w:p>
      <w:pPr>
        <w:pStyle w:val="ListBullet"/>
        <w:numPr>
          <w:ilvl w:val="0"/>
          <w:numId w:val="22"/>
        </w:numPr>
      </w:pPr>
      <w:r>
        <w:t xml:space="preserve">•  Aramco</w:t>
      </w:r>
    </w:p>
    <w:p>
      <w:pPr>
        <w:pStyle w:val="ListBullet"/>
        <w:numPr>
          <w:ilvl w:val="0"/>
          <w:numId w:val="22"/>
        </w:numPr>
      </w:pPr>
      <w:r>
        <w:t xml:space="preserve">•  Arabian Real Estate Investment Trust</w:t>
      </w:r>
    </w:p>
    <w:p>
      <w:pPr>
        <w:pStyle w:val="ListBullet"/>
        <w:numPr>
          <w:ilvl w:val="0"/>
          <w:numId w:val="22"/>
        </w:numPr>
      </w:pPr>
      <w:r>
        <w:t xml:space="preserve">•  Arcapita BlueApple Partners</w:t>
      </w:r>
    </w:p>
    <w:p>
      <w:pPr>
        <w:pStyle w:val="ListBullet"/>
        <w:numPr>
          <w:ilvl w:val="0"/>
          <w:numId w:val="22"/>
        </w:numPr>
      </w:pPr>
      <w:r>
        <w:t xml:space="preserve">•  Dalma Energy</w:t>
      </w:r>
    </w:p>
    <w:p>
      <w:pPr>
        <w:pStyle w:val="ListBullet"/>
        <w:numPr>
          <w:ilvl w:val="0"/>
          <w:numId w:val="22"/>
        </w:numPr>
      </w:pPr>
      <w:r>
        <w:t xml:space="preserve">•  Dow Chemical Company</w:t>
      </w:r>
    </w:p>
    <w:p>
      <w:pPr>
        <w:pStyle w:val="ListBullet"/>
        <w:numPr>
          <w:ilvl w:val="0"/>
          <w:numId w:val="22"/>
        </w:numPr>
      </w:pPr>
      <w:r>
        <w:t xml:space="preserve">•  General Electric</w:t>
      </w:r>
    </w:p>
    <w:p>
      <w:pPr>
        <w:pStyle w:val="ListBullet"/>
        <w:numPr>
          <w:ilvl w:val="0"/>
          <w:numId w:val="22"/>
        </w:numPr>
      </w:pPr>
      <w:r>
        <w:t xml:space="preserve">•  Gulf Investment Corporation</w:t>
      </w:r>
    </w:p>
    <w:p>
      <w:pPr>
        <w:pStyle w:val="ListBullet"/>
        <w:numPr>
          <w:ilvl w:val="0"/>
          <w:numId w:val="22"/>
        </w:numPr>
      </w:pPr>
      <w:r>
        <w:t xml:space="preserve">•  International Investment Bank</w:t>
      </w:r>
    </w:p>
    <w:p>
      <w:pPr>
        <w:pStyle w:val="ListBullet"/>
        <w:numPr>
          <w:ilvl w:val="0"/>
          <w:numId w:val="22"/>
        </w:numPr>
      </w:pPr>
      <w:r>
        <w:t xml:space="preserve">•  Islamic Development Bank</w:t>
      </w:r>
    </w:p>
    <w:p>
      <w:pPr>
        <w:pStyle w:val="ListBullet"/>
        <w:numPr>
          <w:ilvl w:val="0"/>
          <w:numId w:val="22"/>
        </w:numPr>
      </w:pPr>
      <w:r>
        <w:t xml:space="preserve">•  Jadwa Investment Company</w:t>
      </w:r>
    </w:p>
    <w:p>
      <w:pPr>
        <w:pStyle w:val="ListBullet"/>
        <w:numPr>
          <w:ilvl w:val="0"/>
          <w:numId w:val="22"/>
        </w:numPr>
      </w:pPr>
      <w:r>
        <w:t xml:space="preserve">•  KFH Capital</w:t>
      </w:r>
    </w:p>
    <w:p>
      <w:pPr>
        <w:pStyle w:val="ListBullet"/>
        <w:numPr>
          <w:ilvl w:val="0"/>
          <w:numId w:val="22"/>
        </w:numPr>
      </w:pPr>
      <w:r>
        <w:t xml:space="preserve">•  Kuveyt Turk</w:t>
      </w:r>
    </w:p>
    <w:p>
      <w:pPr>
        <w:pStyle w:val="ListBullet"/>
        <w:numPr>
          <w:ilvl w:val="0"/>
          <w:numId w:val="22"/>
        </w:numPr>
      </w:pPr>
      <w:r>
        <w:t xml:space="preserve">•  Meraas</w:t>
      </w:r>
    </w:p>
    <w:p>
      <w:pPr>
        <w:pStyle w:val="ListBullet"/>
        <w:numPr>
          <w:ilvl w:val="0"/>
          <w:numId w:val="22"/>
        </w:numPr>
      </w:pPr>
      <w:r>
        <w:t xml:space="preserve">•  Mubadala Development Company</w:t>
      </w:r>
    </w:p>
    <w:p>
      <w:pPr>
        <w:pStyle w:val="ListBullet"/>
        <w:numPr>
          <w:ilvl w:val="0"/>
          <w:numId w:val="22"/>
        </w:numPr>
      </w:pPr>
      <w:r>
        <w:t xml:space="preserve">•  NBK Capital</w:t>
      </w:r>
    </w:p>
    <w:p>
      <w:pPr>
        <w:pStyle w:val="ListBullet"/>
        <w:numPr>
          <w:ilvl w:val="0"/>
          <w:numId w:val="22"/>
        </w:numPr>
      </w:pPr>
      <w:r>
        <w:t xml:space="preserve">•  NCB Capital</w:t>
      </w:r>
    </w:p>
    <w:p>
      <w:pPr>
        <w:pStyle w:val="ListBullet"/>
        <w:numPr>
          <w:ilvl w:val="0"/>
          <w:numId w:val="22"/>
        </w:numPr>
      </w:pPr>
      <w:r>
        <w:t xml:space="preserve">•  Sahara Petrochemical Company</w:t>
      </w:r>
    </w:p>
    <w:p>
      <w:pPr>
        <w:pStyle w:val="ListBullet"/>
        <w:numPr>
          <w:ilvl w:val="0"/>
          <w:numId w:val="22"/>
        </w:numPr>
      </w:pPr>
      <w:r>
        <w:t xml:space="preserve">•  Saudi Economic Development Co.</w:t>
      </w:r>
    </w:p>
    <w:p>
      <w:pPr>
        <w:pStyle w:val="ListBullet"/>
        <w:numPr>
          <w:ilvl w:val="0"/>
          <w:numId w:val="22"/>
        </w:numPr>
      </w:pPr>
      <w:r>
        <w:t xml:space="preserve">•  SHUAA Capital Saudi Arabia</w:t>
      </w:r>
    </w:p>
    <w:p>
      <w:pPr>
        <w:pStyle w:val="ListBullet"/>
        <w:numPr>
          <w:ilvl w:val="0"/>
          <w:numId w:val="22"/>
        </w:numPr>
      </w:pPr>
      <w:r>
        <w:t xml:space="preserve">•  Société Générale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Awarded our firm the ‘Saudi Arabia Client Service Award’, 2021</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for the 15th straight year for Middle East Investment Funds, 2010-2025</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for Investment Funds in the UAE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The Legal 500 EMEA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2025-09-01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Sanabil Investments on SAR 270 million Series B Funding Round for Gathern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2025-05-05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Sweid &amp; Sweid on the acquisition of Aurora Tower in Dubai Media City</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2025-01-21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GFH Partners on Acquisition of AED 500 million Dubai-based Logistics Fund</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3">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2025-11-17</w:t>
      </w:r>
    </w:p>
    <w:p w14:paraId="38DC0FB2" w14:textId="77777777" w:rsidR="0046190E" w:rsidRDefault="0046190E" w:rsidP="0046190E">
      <w:pPr>
        <w:pStyle w:val="H3"/>
        <w:spacing w:before="0"/>
        <w:rPr>
          <w:caps w:val="0"/>
          <w:noProof w:val="0"/>
          <w:color w:val="483733" w:themeColor="text2"/>
        </w:rPr>
      </w:pPr>
      <w:r>
        <w:rPr>
          <w:caps w:val="0"/>
          <w:color w:val="483733" w:themeColor="text2"/>
        </w:rPr>
        <w:t>International Personal Data Transfers under Saudi Arabia’s Data Protection Law</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2025-10-30</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ADGM Courts launch “The ADGM Book”: a consolidated, digital guide to ADGM court procedure, as part of ongoing efforts to build and sustain a worldclass disputes resolution ecosystem in the Middle East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2025-10-22</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Capital Market Authority Introduces a New Category of Funds in Saudi Arabia</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2025-10-21</w:t>
      </w:r>
    </w:p>
    <w:p w14:paraId="4BD15F45" w14:textId="77777777" w:rsidR="009816A0" w:rsidRDefault="009816A0" w:rsidP="009816A0">
      <w:pPr>
        <w:pStyle w:val="H3"/>
        <w:spacing w:before="0"/>
        <w:rPr>
          <w:caps w:val="0"/>
          <w:noProof w:val="0"/>
          <w:color w:val="483733" w:themeColor="text2"/>
        </w:rPr>
      </w:pPr>
      <w:r>
        <w:rPr>
          <w:caps w:val="0"/>
          <w:color w:val="483733" w:themeColor="text2"/>
        </w:rPr>
        <w:t>Macky O’Sullivan to Speak at the ‘Agentic’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2024-01-17</w:t>
      </w:r>
    </w:p>
    <w:p w14:paraId="4BD15F45" w14:textId="77777777" w:rsidR="009816A0" w:rsidRDefault="009816A0" w:rsidP="009816A0">
      <w:pPr>
        <w:pStyle w:val="H3"/>
        <w:spacing w:before="0"/>
        <w:rPr>
          <w:caps w:val="0"/>
          <w:noProof w:val="0"/>
          <w:color w:val="483733" w:themeColor="text2"/>
        </w:rPr>
      </w:pPr>
      <w:r>
        <w:rPr>
          <w:caps w:val="0"/>
          <w:color w:val="483733" w:themeColor="text2"/>
        </w:rPr>
        <w:t>David L. Stone to Speak at the Islamic Finance Panel on Real Estate: Exploring Opportunities to Fund Projects </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2023-05-22</w:t>
      </w:r>
    </w:p>
    <w:p w14:paraId="4BD15F45" w14:textId="77777777" w:rsidR="009816A0" w:rsidRDefault="009816A0" w:rsidP="009816A0">
      <w:pPr>
        <w:pStyle w:val="H3"/>
        <w:spacing w:before="0"/>
        <w:rPr>
          <w:caps w:val="0"/>
          <w:noProof w:val="0"/>
          <w:color w:val="483733" w:themeColor="text2"/>
        </w:rPr>
      </w:pPr>
      <w:r>
        <w:rPr>
          <w:caps w:val="0"/>
          <w:color w:val="483733" w:themeColor="text2"/>
        </w:rPr>
        <w:t>What to Look Out for in a Non-Disclosure Agreement (NDA)?</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Earns Multiple Practice and Individual Rankings in 2025 IFLR1000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2025-11-07</w:t>
      </w:r>
    </w:p>
    <w:p w14:paraId="5700260F" w14:textId="77777777" w:rsidR="00F21DCE" w:rsidRDefault="00F21DCE" w:rsidP="00F21DCE">
      <w:pPr>
        <w:pStyle w:val="H3"/>
        <w:spacing w:before="0"/>
        <w:rPr>
          <w:caps w:val="0"/>
          <w:noProof w:val="0"/>
          <w:color w:val="483733" w:themeColor="text2"/>
        </w:rPr>
      </w:pPr>
      <w:r>
        <w:rPr>
          <w:caps w:val="0"/>
          <w:color w:val="483733" w:themeColor="text2"/>
        </w:rPr>
        <w:t>Dan Feldman Wins Rainmaker of the Year Award at Law Middle East Awards 2025</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2025-10-23</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Wins Three IFLR Middle East Awards at IFLR Middle East Awards 2025</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news-and-insights?capability_id=31&amp;post_category_id=1&amp;post_type=0" TargetMode="External" Id="rId13"/><Relationship Type="http://schemas.openxmlformats.org/officeDocument/2006/relationships/hyperlink" Target="https://www.kslaw.com/news-and-insights?capability_id=31&amp;post_type=2" TargetMode="External" Id="rId14"/><Relationship Type="http://schemas.openxmlformats.org/officeDocument/2006/relationships/hyperlink" Target="https://www.kslaw.com/news-and-insights?capability_id=31&amp;post_type=1" TargetMode="External" Id="rId15"/><Relationship Type="http://schemas.openxmlformats.org/officeDocument/2006/relationships/hyperlink" Target="https://www.kslaw.com/news-and-insights?capability_id=31&amp;post_type=0" TargetMode="External" Id="rId16"/></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