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International Arbitration and Litigation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 is widely recognized as one of the world’s leading law firms in international arbitration and litigation. We represent clients in commercial and investment arbitration, and in courts around the world in international litigation, such as motions to compel arbitration, anti-suit injunctions and enforcement actions.</w:t>
      </w:r>
    </w:p>
    <w:p>
      <w:pPr>
        <w:pStyle w:val="Paragraph"/>
      </w:pPr>
      <w:r>
        <w:t xml:space="preserve">Our highly-integrated global team of more than 120 lawyers works collaboratively across 18 offices worldwide.  We have handled arbitral proceedings across a broad range of industry sectors involving projects and parties in more than 140 countries around the world. With advocacy skills tested in the most complex of international disputes, King &amp; Spalding is known for its unsurpassed written and oral advocacy.</w:t>
      </w:r>
    </w:p>
    <w:p>
      <w:pPr>
        <w:pStyle w:val="Paragraph"/>
      </w:pPr>
      <w:r>
        <w:t xml:space="preserve">In the international commercial arbitration field, we have represented clients in hundreds of commercial disputes under the rules of all the major arbitral institutions. In the investment arbitration field, we have handled matters brought under contracts and bilateral, regional and multilateral treaties, and have obtained some of the most significant awards in history.</w:t>
      </w:r>
    </w:p>
    <w:p>
      <w:pPr>
        <w:pStyle w:val="Paragraph"/>
      </w:pPr>
      <w:r>
        <w:t xml:space="preserve">Our reputation is based on imaginative strategic thinking, meticulous preparation, powerful advocacy, and above all a determination to excel for our clients. These attributes are regularly highlighted by all the major legal directories, including </w:t>
      </w:r>
      <w:r>
        <w:rPr>
          <w:i/>
        </w:rPr>
        <w:t xml:space="preserve">Chambers Global</w:t>
      </w:r>
      <w:r>
        <w:t xml:space="preserve">, </w:t>
      </w:r>
      <w:r>
        <w:rPr>
          <w:i/>
        </w:rPr>
        <w:t xml:space="preserve">The Legal 500</w:t>
      </w:r>
      <w:r>
        <w:t xml:space="preserve"> and </w:t>
      </w:r>
      <w:r>
        <w:rPr>
          <w:i/>
        </w:rPr>
        <w:t xml:space="preserve">Global Arbitration Review</w:t>
      </w:r>
      <w:r>
        <w:t xml:space="preserve">, which consistently place King &amp; Spalding at the very top of this field of international law.</w:t>
      </w:r>
    </w:p>
    <w:p>
      <w:pPr>
        <w:pStyle w:val="Paragraph"/>
      </w:pPr>
      <w:r>
        <w:t xml:space="preserve">In the leading ranking of international arbitration law firms, King &amp; Spalding is ranked number 1 worldwide (</w:t>
      </w:r>
      <w:r>
        <w:rPr>
          <w:i/>
        </w:rPr>
        <w:t xml:space="preserve">Global Arbitration Review</w:t>
      </w:r>
      <w:r>
        <w:t xml:space="preserve">: 2020, 2022, 2023, 2024).</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Samaa A. Haridi</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Roberto J. Aguirre Luzi</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Savage, K.C.</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Paris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Tom Sprange, K.C.</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Wade Coriell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Singapore</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Henry Burnett (Harry)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Miami</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Number One International Arbitration Practice Worldwide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GLOBAL ARBITRATION REVIEW: 2025, 2024, 2023, 2022,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1 – International Arbitration</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1 – International Arbitration</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Historic $221 Million Award for Chevron in Long-Running Chevron v. Ecuador Investment Treaty Arbitration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2025-09-10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Chevron in Dispute Arising from Chevron’s Merger with Hess Corporation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2025-04-28</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Wins US$150+ Million ICSID Award for Webuild in Treaty Arbitration Against Argentina</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2025-11-14</w:t>
      </w:r>
    </w:p>
    <w:p w14:paraId="38DC0FB2" w14:textId="77777777" w:rsidR="0046190E" w:rsidRDefault="0046190E" w:rsidP="0046190E">
      <w:pPr>
        <w:pStyle w:val="H3"/>
        <w:spacing w:before="0"/>
        <w:rPr>
          <w:caps w:val="0"/>
          <w:noProof w:val="0"/>
          <w:color w:val="483733" w:themeColor="text2"/>
        </w:rPr>
      </w:pPr>
      <w:r>
        <w:rPr>
          <w:caps w:val="0"/>
          <w:color w:val="483733" w:themeColor="text2"/>
        </w:rPr>
        <w:t>High Court finds in favour of victims of the Mariana Dam disaster</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2025-12-04</w:t>
      </w:r>
    </w:p>
    <w:p w14:paraId="4BD15F45" w14:textId="77777777" w:rsidR="009816A0" w:rsidRDefault="009816A0" w:rsidP="009816A0">
      <w:pPr>
        <w:pStyle w:val="H3"/>
        <w:spacing w:before="0"/>
        <w:rPr>
          <w:caps w:val="0"/>
          <w:noProof w:val="0"/>
          <w:color w:val="483733" w:themeColor="text2"/>
        </w:rPr>
      </w:pPr>
      <w:r>
        <w:rPr>
          <w:caps w:val="0"/>
          <w:color w:val="483733" w:themeColor="text2"/>
        </w:rPr>
        <w:t>Jan Schaefer and Shouvik Bhattacharya to Speak at the New York Arbitration Week</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2025-11-22</w:t>
      </w:r>
    </w:p>
    <w:p w14:paraId="4BD15F45" w14:textId="77777777" w:rsidR="009816A0" w:rsidRDefault="009816A0" w:rsidP="009816A0">
      <w:pPr>
        <w:pStyle w:val="H3"/>
        <w:spacing w:before="0"/>
        <w:rPr>
          <w:caps w:val="0"/>
          <w:noProof w:val="0"/>
          <w:color w:val="483733" w:themeColor="text2"/>
        </w:rPr>
      </w:pPr>
      <w:r>
        <w:rPr>
          <w:caps w:val="0"/>
          <w:color w:val="483733" w:themeColor="text2"/>
        </w:rPr>
        <w:t>Rüdiger Morbach to Speak at the Regional Conference on Optimizing the Investment Climate, Promoting and Protecting Investments</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2025-10-23</w:t>
      </w:r>
    </w:p>
    <w:p w14:paraId="4BD15F45" w14:textId="77777777" w:rsidR="009816A0" w:rsidRDefault="009816A0" w:rsidP="009816A0">
      <w:pPr>
        <w:pStyle w:val="H3"/>
        <w:spacing w:before="0"/>
        <w:rPr>
          <w:caps w:val="0"/>
          <w:noProof w:val="0"/>
          <w:color w:val="483733" w:themeColor="text2"/>
        </w:rPr>
      </w:pPr>
      <w:r>
        <w:rPr>
          <w:caps w:val="0"/>
          <w:color w:val="483733" w:themeColor="text2"/>
        </w:rPr>
        <w:t>Jessica Beess und Chrostin to Speak at International Law Weekend - Crisis as Catalyst in International Law</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2025-11-26</w:t>
      </w:r>
    </w:p>
    <w:p w14:paraId="5700260F" w14:textId="77777777" w:rsidR="00F21DCE" w:rsidRDefault="00F21DCE" w:rsidP="00F21DCE">
      <w:pPr>
        <w:pStyle w:val="H3"/>
        <w:spacing w:before="0"/>
        <w:rPr>
          <w:caps w:val="0"/>
          <w:noProof w:val="0"/>
          <w:color w:val="483733" w:themeColor="text2"/>
        </w:rPr>
      </w:pPr>
      <w:r>
        <w:rPr>
          <w:caps w:val="0"/>
          <w:color w:val="483733" w:themeColor="text2"/>
        </w:rPr>
        <w:t>Carson Bennett, Matt McGill, Alexander Kazam, Caroline Freeman, Sara McBrearty and Lauren Friedman represent Blasket Renewable Investments in an ICSID award enforcement dispute before a D.C. federal court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Childs counsels Foresight Fund Managers in an arbitral enforcement award dispute against Spain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2025-11-20</w:t>
      </w:r>
    </w:p>
    <w:p w14:paraId="5700260F" w14:textId="77777777" w:rsidR="00F21DCE" w:rsidRDefault="00F21DCE" w:rsidP="00F21DCE">
      <w:pPr>
        <w:pStyle w:val="H3"/>
        <w:spacing w:before="0"/>
        <w:rPr>
          <w:caps w:val="0"/>
          <w:noProof w:val="0"/>
          <w:color w:val="483733" w:themeColor="text2"/>
        </w:rPr>
      </w:pPr>
      <w:r>
        <w:rPr>
          <w:caps w:val="0"/>
          <w:color w:val="483733" w:themeColor="text2"/>
        </w:rPr>
        <w:t>Joe Akrotirianakis counsels NSO Group before a San Francisco federal court in a dispute with Salvadoran investigative journalists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4" TargetMode="External" Id="rId13"/><Relationship Type="http://schemas.openxmlformats.org/officeDocument/2006/relationships/hyperlink" Target="https://www.kslaw.com/news-and-insights?capability_id=14&amp;post_category_id=1&amp;post_type=0" TargetMode="External" Id="rId14"/><Relationship Type="http://schemas.openxmlformats.org/officeDocument/2006/relationships/hyperlink" Target="https://www.kslaw.com/news-and-insights?capability_id=14&amp;post_type=2" TargetMode="External" Id="rId15"/><Relationship Type="http://schemas.openxmlformats.org/officeDocument/2006/relationships/hyperlink" Target="https://www.kslaw.com/news-and-insights?capability_id=14&amp;post_type=1" TargetMode="External" Id="rId16"/><Relationship Type="http://schemas.openxmlformats.org/officeDocument/2006/relationships/hyperlink" Target="https://www.kslaw.com/news-and-insights?capability_id=14&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