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Intellectual Property</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Strength and agility in exploiting, protecting and enforcing intellectual property rights is business-critical. Our full-service intellectual property practice combines proven first-chair trial lawyers with true technical specialists to defend our clients’ IP interests through: </w:t>
      </w:r>
    </w:p>
    <w:p>
      <w:pPr>
        <w:pStyle w:val="ListBullet"/>
        <w:numPr>
          <w:ilvl w:val="0"/>
          <w:numId w:val="21"/>
        </w:numPr>
      </w:pPr>
      <w:r>
        <w:t xml:space="preserve">•  Patent litigation before district courts across the country, including the Western District of Texas, the Eastern District of Texas, the District of Delaware, and the Central and Northern Districts of California</w:t>
      </w:r>
    </w:p>
    <w:p>
      <w:pPr>
        <w:pStyle w:val="ListBullet"/>
        <w:numPr>
          <w:ilvl w:val="0"/>
          <w:numId w:val="21"/>
        </w:numPr>
      </w:pPr>
      <w:r>
        <w:t xml:space="preserve">•  Post-Grant proceedings, including </w:t>
      </w:r>
      <w:r>
        <w:rPr>
          <w:i/>
        </w:rPr>
        <w:t xml:space="preserve">inter partes</w:t>
      </w:r>
      <w:r>
        <w:t xml:space="preserve"> review in front of the Patent Trial and Appeal Board (PTAB)</w:t>
      </w:r>
    </w:p>
    <w:p>
      <w:pPr>
        <w:pStyle w:val="ListBullet"/>
        <w:numPr>
          <w:ilvl w:val="0"/>
          <w:numId w:val="21"/>
        </w:numPr>
      </w:pPr>
      <w:r>
        <w:t xml:space="preserve">•  Appellate courts and the International Trade Commission (ITC)</w:t>
      </w:r>
    </w:p>
    <w:p>
      <w:pPr>
        <w:pStyle w:val="ListBullet"/>
        <w:numPr>
          <w:ilvl w:val="0"/>
          <w:numId w:val="21"/>
        </w:numPr>
      </w:pPr>
      <w:r>
        <w:t xml:space="preserve">•  Trademark Trial and Appeal Board (TTAB) proceedings</w:t>
      </w:r>
    </w:p>
    <w:p>
      <w:pPr>
        <w:pStyle w:val="ListBullet"/>
        <w:numPr>
          <w:ilvl w:val="0"/>
          <w:numId w:val="21"/>
        </w:numPr>
      </w:pPr>
      <w:r>
        <w:t xml:space="preserve">•  Patent prosecution, counseling and IP due diligence</w:t>
      </w:r>
    </w:p>
    <w:p>
      <w:pPr>
        <w:pStyle w:val="ListBullet"/>
        <w:numPr>
          <w:ilvl w:val="0"/>
          <w:numId w:val="21"/>
        </w:numPr>
      </w:pPr>
      <w:r>
        <w:t xml:space="preserve">•  Media and entertainment litigation, including leading-edge music and copyright matters</w:t>
      </w:r>
    </w:p>
    <w:p>
      <w:pPr>
        <w:pStyle w:val="ListBullet"/>
        <w:numPr>
          <w:ilvl w:val="0"/>
          <w:numId w:val="21"/>
        </w:numPr>
      </w:pPr>
      <w:r>
        <w:t xml:space="preserve">•  Trademark enforcement, prosecution, counseling and IP due diligence</w:t>
      </w:r>
    </w:p>
    <w:p>
      <w:pPr>
        <w:pStyle w:val="ListBullet"/>
        <w:numPr>
          <w:ilvl w:val="0"/>
          <w:numId w:val="21"/>
        </w:numPr>
      </w:pPr>
      <w:r>
        <w:t xml:space="preserve">•  Trademark, copyright, trade secret and false advertising litigation </w:t>
      </w:r>
    </w:p>
    <w:p>
      <w:pPr>
        <w:pStyle w:val="Paragraph"/>
      </w:pPr>
      <w:r>
        <w:t xml:space="preserve">Our IP litigators have handled hundreds of complex litigation matters across a diverse range of industry sectors, including most notably life sciences, telecommunications, computer systems, media and entertainment, biotech, consumer products, oil and gas, cosmetics and food and beverage.</w:t>
      </w:r>
    </w:p>
    <w:p>
      <w:pPr>
        <w:pStyle w:val="Paragraph"/>
      </w:pPr>
      <w:r>
        <w:t xml:space="preserve">Our patent trial lawyers are extremely capable in obtaining the best results for our clients and are not afraid to litigate in the most complicated of cases. For many clients, the at-risk product revenues were in the billions of dollars per case. </w:t>
      </w:r>
    </w:p>
    <w:p>
      <w:pPr>
        <w:pStyle w:val="Paragraph"/>
      </w:pPr>
      <w:r>
        <w:t xml:space="preserve">King &amp; Spalding’s IP practice has established a reputation as a go-to firm for IP appellate work.  Our litigation teams make concerted efforts to include, where appropriate, appellate practitioners before, during and after trial to ensure the best record and the best results for the client. </w:t>
      </w:r>
    </w:p>
    <w:p>
      <w:pPr>
        <w:pStyle w:val="Paragraph"/>
      </w:pPr>
      <w:r>
        <w:t xml:space="preserve">In trademark and copyright litigation, our lawyers have represented clients in trials and preliminary injunction hearing, practiced in federal courts, the USPTO, TTAB and ITC, and participated in ICANN domain name arbitrations. </w:t>
      </w:r>
    </w:p>
    <w:p>
      <w:pPr>
        <w:pStyle w:val="Paragraph"/>
      </w:pPr>
      <w:r>
        <w:t xml:space="preserve">Our media and entertainment practice is right at the cutting edge of digital media and traditional media. Our team has particular experience in litigating copyright infringement and antitrust/rate-setting claims in cases involving the distribution of audio and audio-visual media content. </w:t>
      </w:r>
    </w:p>
    <w:p>
      <w:pPr>
        <w:pStyle w:val="Paragraph"/>
      </w:pPr>
      <w:r>
        <w:t xml:space="preserve">The majority of the team’s patent professionals hold technical degrees, with many having industry experience as well.</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Stephen E. Baskin (Steve)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Thomas J. Friel, Jr. (Tom)</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Silicon Valley</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Kenneth L. Steinthal</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San Francisco</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Kathleen E. McCarthy (Katie)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Tier 1 Nationally for Copyright Litigation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Legal 500 US, 2022 </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Top Ranked Across Various Jurisdictions for Intellectual Property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Top Ranked for Patent Litigation Nationwide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2025-10-27</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Significant Ruling on Behalf of Skillz</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2025-10-23</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Air France-KLM On Its Acquisition Of A Minority Stake In WestJet</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2025-09-25</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Dismissal of Copyright Infringement Complaint for Netflix</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2025-12-11</w:t>
      </w:r>
    </w:p>
    <w:p w14:paraId="38DC0FB2" w14:textId="77777777" w:rsidR="0046190E" w:rsidRDefault="0046190E" w:rsidP="0046190E">
      <w:pPr>
        <w:pStyle w:val="H3"/>
        <w:spacing w:before="0"/>
        <w:rPr>
          <w:caps w:val="0"/>
          <w:noProof w:val="0"/>
          <w:color w:val="483733" w:themeColor="text2"/>
        </w:rPr>
      </w:pPr>
      <w:r>
        <w:rPr>
          <w:caps w:val="0"/>
          <w:color w:val="483733" w:themeColor="text2"/>
        </w:rPr>
        <w:t>EU &amp; UK AI Round-up - December 2025</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2025-10-23</w:t>
      </w:r>
    </w:p>
    <w:p w14:paraId="38DC0FB2" w14:textId="77777777" w:rsidR="0046190E" w:rsidRDefault="0046190E" w:rsidP="0046190E">
      <w:pPr>
        <w:pStyle w:val="H3"/>
        <w:spacing w:before="0"/>
        <w:rPr>
          <w:caps w:val="0"/>
          <w:noProof w:val="0"/>
          <w:color w:val="483733" w:themeColor="text2"/>
        </w:rPr>
      </w:pPr>
      <w:r>
        <w:rPr>
          <w:caps w:val="0"/>
          <w:color w:val="483733" w:themeColor="text2"/>
        </w:rPr>
        <w:t>EU Act Establishes Data Sharing Rules, But Hurdles Remain</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2025-10-22</w:t>
      </w:r>
    </w:p>
    <w:p w14:paraId="38DC0FB2" w14:textId="77777777" w:rsidR="0046190E" w:rsidRDefault="0046190E" w:rsidP="0046190E">
      <w:pPr>
        <w:pStyle w:val="H3"/>
        <w:spacing w:before="0"/>
        <w:rPr>
          <w:caps w:val="0"/>
          <w:noProof w:val="0"/>
          <w:color w:val="483733" w:themeColor="text2"/>
        </w:rPr>
      </w:pPr>
      <w:r>
        <w:rPr>
          <w:caps w:val="0"/>
          <w:color w:val="483733" w:themeColor="text2"/>
        </w:rPr>
        <w:t>PTO Proposes New Rules for Institution of IPR Proceedings; Comments Due by December 2, 2025</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2025-12-08</w:t>
      </w:r>
    </w:p>
    <w:p w14:paraId="4BD15F45" w14:textId="77777777" w:rsidR="009816A0" w:rsidRDefault="009816A0" w:rsidP="009816A0">
      <w:pPr>
        <w:pStyle w:val="H3"/>
        <w:spacing w:before="0"/>
        <w:rPr>
          <w:caps w:val="0"/>
          <w:noProof w:val="0"/>
          <w:color w:val="483733" w:themeColor="text2"/>
        </w:rPr>
      </w:pPr>
      <w:r>
        <w:rPr>
          <w:caps w:val="0"/>
          <w:color w:val="483733" w:themeColor="text2"/>
        </w:rPr>
        <w:t>Dirk Lasater to Speak on Panel to Association of Corporate Counsel National Membership</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2025-10-19</w:t>
      </w:r>
    </w:p>
    <w:p w14:paraId="4BD15F45" w14:textId="77777777" w:rsidR="009816A0" w:rsidRDefault="009816A0" w:rsidP="009816A0">
      <w:pPr>
        <w:pStyle w:val="H3"/>
        <w:spacing w:before="0"/>
        <w:rPr>
          <w:caps w:val="0"/>
          <w:noProof w:val="0"/>
          <w:color w:val="483733" w:themeColor="text2"/>
        </w:rPr>
      </w:pPr>
      <w:r>
        <w:rPr>
          <w:caps w:val="0"/>
          <w:color w:val="483733" w:themeColor="text2"/>
        </w:rPr>
        <w:t>Robert Hudock and Dirk Lasater to Speak at Association of Corporate Counsel Annual Meeting</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2025-09-22</w:t>
      </w:r>
    </w:p>
    <w:p w14:paraId="4BD15F45" w14:textId="77777777" w:rsidR="009816A0" w:rsidRDefault="009816A0" w:rsidP="009816A0">
      <w:pPr>
        <w:pStyle w:val="H3"/>
        <w:spacing w:before="0"/>
        <w:rPr>
          <w:caps w:val="0"/>
          <w:noProof w:val="0"/>
          <w:color w:val="483733" w:themeColor="text2"/>
        </w:rPr>
      </w:pPr>
      <w:r>
        <w:rPr>
          <w:caps w:val="0"/>
          <w:color w:val="483733" w:themeColor="text2"/>
        </w:rPr>
        <w:t>Dr. Christina Young to Speak at the “Trade Protectionism &amp; Supply Chain Adaptation – Navigating Regulatory &amp; Policy Shifts” panel</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2025-11-26</w:t>
      </w:r>
    </w:p>
    <w:p w14:paraId="5700260F" w14:textId="77777777" w:rsidR="00F21DCE" w:rsidRDefault="00F21DCE" w:rsidP="00F21DCE">
      <w:pPr>
        <w:pStyle w:val="H3"/>
        <w:spacing w:before="0"/>
        <w:rPr>
          <w:caps w:val="0"/>
          <w:noProof w:val="0"/>
          <w:color w:val="483733" w:themeColor="text2"/>
        </w:rPr>
      </w:pPr>
      <w:r>
        <w:rPr>
          <w:caps w:val="0"/>
          <w:color w:val="483733" w:themeColor="text2"/>
        </w:rPr>
        <w:t>The American Lawyer interviews Attorney of the Year Neel Chatterjee, who discusses his work forming Law Firm Partners United</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2025-11-17</w:t>
      </w:r>
    </w:p>
    <w:p w14:paraId="5700260F" w14:textId="77777777" w:rsidR="00F21DCE" w:rsidRDefault="00F21DCE" w:rsidP="00F21DCE">
      <w:pPr>
        <w:pStyle w:val="H3"/>
        <w:spacing w:before="0"/>
        <w:rPr>
          <w:caps w:val="0"/>
          <w:noProof w:val="0"/>
          <w:color w:val="483733" w:themeColor="text2"/>
        </w:rPr>
      </w:pPr>
      <w:r>
        <w:rPr>
          <w:caps w:val="0"/>
          <w:color w:val="483733" w:themeColor="text2"/>
        </w:rPr>
        <w:t>Laurent Bensaid, Agnieszka Opalach, Eve-Christie Vermynck and Allison Bell advise Air France-KLM on its acquisition of a minority stake in Canadian airline WestJet</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2025-11-14</w:t>
      </w:r>
    </w:p>
    <w:p w14:paraId="5700260F" w14:textId="77777777" w:rsidR="00F21DCE" w:rsidRDefault="00F21DCE" w:rsidP="00F21DCE">
      <w:pPr>
        <w:pStyle w:val="H3"/>
        <w:spacing w:before="0"/>
        <w:rPr>
          <w:caps w:val="0"/>
          <w:noProof w:val="0"/>
          <w:color w:val="483733" w:themeColor="text2"/>
        </w:rPr>
      </w:pPr>
      <w:r>
        <w:rPr>
          <w:caps w:val="0"/>
          <w:color w:val="483733" w:themeColor="text2"/>
        </w:rPr>
        <w:t>The American Lawyer Names Neel Chatterjee Attorney of the Year</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3" TargetMode="External" Id="rId13"/><Relationship Type="http://schemas.openxmlformats.org/officeDocument/2006/relationships/hyperlink" Target="https://www.kslaw.com/news-and-insights?capability_id=13&amp;post_category_id=1&amp;post_type=0" TargetMode="External" Id="rId14"/><Relationship Type="http://schemas.openxmlformats.org/officeDocument/2006/relationships/hyperlink" Target="https://www.kslaw.com/news-and-insights?capability_id=13&amp;post_type=2" TargetMode="External" Id="rId15"/><Relationship Type="http://schemas.openxmlformats.org/officeDocument/2006/relationships/hyperlink" Target="https://www.kslaw.com/news-and-insights?capability_id=13&amp;post_type=1" TargetMode="External" Id="rId16"/><Relationship Type="http://schemas.openxmlformats.org/officeDocument/2006/relationships/hyperlink" Target="https://www.kslaw.com/news-and-insights?capability_id=13&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