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Healthcare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Spalding’s healthcare industry practice has grown to encompass more than 400 professionals who serve the entire spectrum of healthcare providers, practitioners, investors, manufacturers, suppliers, vendors, educators, researchers, and inventors.</w:t>
      </w:r>
    </w:p>
    <w:p>
      <w:pPr>
        <w:pStyle w:val="Paragraph"/>
      </w:pPr>
      <w:r>
        <w:t xml:space="preserve">Our growth as a professional firm to the healthcare industry is attributable to our track record in achieving outcomes our clients value. We become partners with our clients in developing and executing complex transactions, litigation strategies, government reimbursement solutions, regulatory compliance initiatives, managed care contracting strategies, and efficiency/cost reduction measures. We understand our clients’ business operations and shape our advice and counsel to the achievement of our clients’ strategic objectives. Our clients tell us that we excel not only in efficiently delivering uncompromising quality, but also in making our clients’ problems our own.</w:t>
      </w:r>
    </w:p>
    <w:p>
      <w:pPr>
        <w:pStyle w:val="Paragraph"/>
      </w:pPr>
      <w:r>
        <w:t xml:space="preserve">We participate directly in the industry ourselves, serving as trusted advisors, commentators on business trends, and advocates for the advancement of healthcare policy. Over the years we have been fortunate to have some of the best and brightest talents in our field join us in this work.</w:t>
      </w:r>
    </w:p>
    <w:p>
      <w:pPr>
        <w:pStyle w:val="Paragraph"/>
      </w:pPr>
      <w:r>
        <w:t xml:space="preserve"> </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James W. Boswell III (Jim)</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Mark D. Polston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Three-time winner of Practice Group of the Year for healthcare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nationwide for Healthcare Law</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Best Law Firms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nationwide for Healthcare: Service Providers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UltraGreen.ai as local counsel in connection with USD 400M IPO</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2025-07-29</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Complete Defense Verdict for CG Oncology in Defense of Future Royalties and $2.3 Billion Unjust Enrichment Claim</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2025-03-26</w:t>
      </w:r>
    </w:p>
    <w:p w14:paraId="636140DC" w14:textId="77777777" w:rsidR="001C65B2" w:rsidRDefault="001C65B2" w:rsidP="001C65B2">
      <w:pPr>
        <w:pStyle w:val="H3"/>
        <w:spacing w:before="0"/>
        <w:rPr>
          <w:caps w:val="0"/>
          <w:noProof w:val="0"/>
          <w:color w:val="483733" w:themeColor="text2"/>
        </w:rPr>
      </w:pPr>
      <w:r>
        <w:rPr>
          <w:caps w:val="0"/>
          <w:color w:val="483733" w:themeColor="text2"/>
        </w:rPr>
        <w:t>Heartflow Completes Convertible Notes Financing</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Newsletter</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Health Headlines – November 24,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Newsletter</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2025-11-10</w:t>
      </w:r>
    </w:p>
    <w:p w14:paraId="38DC0FB2" w14:textId="77777777" w:rsidR="0046190E" w:rsidRDefault="0046190E" w:rsidP="0046190E">
      <w:pPr>
        <w:pStyle w:val="H3"/>
        <w:spacing w:before="0"/>
        <w:rPr>
          <w:caps w:val="0"/>
          <w:noProof w:val="0"/>
          <w:color w:val="483733" w:themeColor="text2"/>
        </w:rPr>
      </w:pPr>
      <w:r>
        <w:rPr>
          <w:caps w:val="0"/>
          <w:color w:val="483733" w:themeColor="text2"/>
        </w:rPr>
        <w:t>Health Headlines – November 10,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Newsletter</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2025-11-03</w:t>
      </w:r>
    </w:p>
    <w:p w14:paraId="38DC0FB2" w14:textId="77777777" w:rsidR="0046190E" w:rsidRDefault="0046190E" w:rsidP="0046190E">
      <w:pPr>
        <w:pStyle w:val="H3"/>
        <w:spacing w:before="0"/>
        <w:rPr>
          <w:caps w:val="0"/>
          <w:noProof w:val="0"/>
          <w:color w:val="483733" w:themeColor="text2"/>
        </w:rPr>
      </w:pPr>
      <w:r>
        <w:rPr>
          <w:caps w:val="0"/>
          <w:color w:val="483733" w:themeColor="text2"/>
        </w:rPr>
        <w:t>Health Headlines – November 3, 2025</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2026-01-28</w:t>
      </w:r>
    </w:p>
    <w:p w14:paraId="4BD15F45" w14:textId="77777777" w:rsidR="009816A0" w:rsidRDefault="009816A0" w:rsidP="009816A0">
      <w:pPr>
        <w:pStyle w:val="H3"/>
        <w:spacing w:before="0"/>
        <w:rPr>
          <w:caps w:val="0"/>
          <w:noProof w:val="0"/>
          <w:color w:val="483733" w:themeColor="text2"/>
        </w:rPr>
      </w:pPr>
      <w:r>
        <w:rPr>
          <w:caps w:val="0"/>
          <w:color w:val="483733" w:themeColor="text2"/>
        </w:rPr>
        <w:t>Healthcare Deal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2025-12-17</w:t>
      </w:r>
    </w:p>
    <w:p w14:paraId="4BD15F45" w14:textId="77777777" w:rsidR="009816A0" w:rsidRDefault="009816A0" w:rsidP="009816A0">
      <w:pPr>
        <w:pStyle w:val="H3"/>
        <w:spacing w:before="0"/>
        <w:rPr>
          <w:caps w:val="0"/>
          <w:noProof w:val="0"/>
          <w:color w:val="483733" w:themeColor="text2"/>
        </w:rPr>
      </w:pPr>
      <w:r>
        <w:rPr>
          <w:caps w:val="0"/>
          <w:color w:val="483733" w:themeColor="text2"/>
        </w:rPr>
        <w:t>What Healthcare Providers That Sponsor ERISA Plans Need To Know for 2026</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2025-11-20</w:t>
      </w:r>
    </w:p>
    <w:p w14:paraId="4BD15F45" w14:textId="77777777" w:rsidR="009816A0" w:rsidRDefault="009816A0" w:rsidP="009816A0">
      <w:pPr>
        <w:pStyle w:val="H3"/>
        <w:spacing w:before="0"/>
        <w:rPr>
          <w:caps w:val="0"/>
          <w:noProof w:val="0"/>
          <w:color w:val="483733" w:themeColor="text2"/>
        </w:rPr>
      </w:pPr>
      <w:r>
        <w:rPr>
          <w:caps w:val="0"/>
          <w:color w:val="483733" w:themeColor="text2"/>
        </w:rPr>
        <w:t>Data Security Incident Response: How to Plan for It, Deal With It and Survive It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2025-11-18</w:t>
      </w:r>
    </w:p>
    <w:p w14:paraId="5700260F" w14:textId="77777777" w:rsidR="00F21DCE" w:rsidRDefault="00F21DCE" w:rsidP="00F21DCE">
      <w:pPr>
        <w:pStyle w:val="H3"/>
        <w:spacing w:before="0"/>
        <w:rPr>
          <w:caps w:val="0"/>
          <w:noProof w:val="0"/>
          <w:color w:val="483733" w:themeColor="text2"/>
        </w:rPr>
      </w:pPr>
      <w:r>
        <w:rPr>
          <w:caps w:val="0"/>
          <w:color w:val="483733" w:themeColor="text2"/>
        </w:rPr>
        <w:t>Amanda Hayes-Kibreab discusses best practices for litigating health care disputes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Antitrust Partner John Carroll Returns to King &amp; Spalding in Washington, D.C.</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Partner John Carroll rejoins the firm’s Antitrust practice in Washington, D.C.</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4" TargetMode="External" Id="rId13"/><Relationship Type="http://schemas.openxmlformats.org/officeDocument/2006/relationships/hyperlink" Target="https://www.kslaw.com/news-and-insights?capability_id=24&amp;post_category_id=1&amp;post_type=0" TargetMode="External" Id="rId14"/><Relationship Type="http://schemas.openxmlformats.org/officeDocument/2006/relationships/hyperlink" Target="https://www.kslaw.com/news-and-insights?capability_id=24&amp;post_type=2" TargetMode="External" Id="rId15"/><Relationship Type="http://schemas.openxmlformats.org/officeDocument/2006/relationships/hyperlink" Target="https://www.kslaw.com/news-and-insights?capability_id=24&amp;post_type=1" TargetMode="External" Id="rId16"/><Relationship Type="http://schemas.openxmlformats.org/officeDocument/2006/relationships/hyperlink" Target="https://www.kslaw.com/news-and-insights?capability_id=24&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