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Government Contracts</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We represent government contracting clients in all aspects of their business transactions with U.S. federal, state and local governments, as well as international governments including investigations and litigation under the False Claims Act (FCA). Our lawyers have advised government contractors, equity investors and institutional buyers in mergers, acquisitions and investments in government contractors at every stage of the government contracting process, from draft solicitation through final audit.</w:t>
      </w:r>
    </w:p>
    <w:p>
      <w:pPr>
        <w:pStyle w:val="Paragraph"/>
      </w:pPr>
      <w:r>
        <w:t xml:space="preserve">Clients appreciate our approach to solving problems before they become deal-breakers. We prepare proactively to handle legal and compliance issues that may arise during the pursuit, performance and closeout of government contracts. </w:t>
      </w:r>
    </w:p>
    <w:p>
      <w:pPr>
        <w:pStyle w:val="Paragraph"/>
      </w:pPr>
      <w:r>
        <w:t xml:space="preserve">Members of our team leverage decades of prior experience and relationships from former positions in government agencies, including the U.S. Armed Forces, as well as from such industries as automotive and technology, financial services, aerospace, defense and healthcare.</w:t>
      </w:r>
    </w:p>
    <w:p>
      <w:pPr>
        <w:pStyle w:val="Paragraph"/>
      </w:pPr>
      <w:r>
        <w:t xml:space="preserve">We offer clients deep experience in technology-related domestic and international mergers, acquisitions, joint venture agreements and other technology transactions; foreign military sales and foreign military financing; and dispute resolution and litigation support.</w:t>
      </w:r>
    </w:p>
    <w:p>
      <w:pPr>
        <w:pStyle w:val="Paragraph"/>
      </w:pPr>
      <w:r>
        <w:t xml:space="preserve">Our attorneys counsel clients on how to best protect their intellectual property rights in technology, software developed or customized under government contracts, commercial software and technical data delivered under government contracts.</w:t>
      </w:r>
    </w:p>
    <w:p>
      <w:pPr>
        <w:pStyle w:val="Paragraph"/>
      </w:pPr>
      <w:r>
        <w:t xml:space="preserve">We regularly assist clients with drafting and negotiating licenses and data rights agreements with agencies and prime contractors. Clients call on us to structure and scope strategic licenses that comply with legal requirements; define, parse and limit government rights in pre-existing technology; and draft and negotiate terms of the license agreement.</w:t>
      </w:r>
    </w:p>
    <w:p>
      <w:pPr>
        <w:pStyle w:val="Paragraph"/>
      </w:pPr>
      <w:r>
        <w:t xml:space="preserve">Because our firm’s capabilities extend beyond deal making, we are able to provide holistic counsel. We regularly advise clients on regulatory compliance and cybersecurity, bid protests, investigations and prosecutions, and claims and disputes. Our group has extensive experience with handling FCA investigations and litigation. This often involves defending clients at an early stage in proceedings, to persuade the government to decline intervention and end the investigation altogether.</w:t>
      </w:r>
    </w:p>
    <w:p>
      <w:pPr>
        <w:pStyle w:val="Paragraph"/>
      </w:pPr>
      <w:r>
        <w:t xml:space="preserve">Clients rely on our team to help them navigate the intricacies of government contracts law, including the Federal Acquisition Regulation (FAR) and Defense Federal Acquisition Regulation Supplement (DFARS). We also routinely address and resolve national security issues.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Rick Vacura</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Northern Virginia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Steve Cave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Northern Virginia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William T. Gordon (Bill)</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Houston</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Recognized as Best Law Firm of the Year</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American Lawyer Industry Awards, 2023</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Band 1 Highly Regarded in Government Contracts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2023 </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Rick Vacura ranked for Government Contracts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Nationwide</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2024-03-07</w:t>
      </w:r>
    </w:p>
    <w:p w14:paraId="636140DC" w14:textId="77777777" w:rsidR="001C65B2" w:rsidRDefault="001C65B2" w:rsidP="001C65B2">
      <w:pPr>
        <w:pStyle w:val="H3"/>
        <w:spacing w:before="0"/>
        <w:rPr>
          <w:caps w:val="0"/>
          <w:noProof w:val="0"/>
          <w:color w:val="483733" w:themeColor="text2"/>
        </w:rPr>
      </w:pPr>
      <w:r>
        <w:rPr>
          <w:caps w:val="0"/>
          <w:color w:val="483733" w:themeColor="text2"/>
        </w:rPr>
        <w:t>ManTech Sells Technical Advisory Services Programs to SPA</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2024-02-27</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Cox Enterprises in Acquisition of Majority Interest of OpenGov at $1.8 Billion Valuation</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2024-01-04</w:t>
      </w:r>
    </w:p>
    <w:p w14:paraId="636140DC" w14:textId="77777777" w:rsidR="001C65B2" w:rsidRDefault="001C65B2" w:rsidP="001C65B2">
      <w:pPr>
        <w:pStyle w:val="H3"/>
        <w:spacing w:before="0"/>
        <w:rPr>
          <w:caps w:val="0"/>
          <w:noProof w:val="0"/>
          <w:color w:val="483733" w:themeColor="text2"/>
        </w:rPr>
      </w:pPr>
      <w:r>
        <w:rPr>
          <w:caps w:val="0"/>
          <w:color w:val="483733" w:themeColor="text2"/>
        </w:rPr>
        <w:t>Acentra Health, a Carlyle Portfolio Company, Acquires Espyr</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2025-09-22</w:t>
      </w:r>
    </w:p>
    <w:p w14:paraId="38DC0FB2" w14:textId="77777777" w:rsidR="0046190E" w:rsidRDefault="0046190E" w:rsidP="0046190E">
      <w:pPr>
        <w:pStyle w:val="H3"/>
        <w:spacing w:before="0"/>
        <w:rPr>
          <w:caps w:val="0"/>
          <w:noProof w:val="0"/>
          <w:color w:val="483733" w:themeColor="text2"/>
        </w:rPr>
      </w:pPr>
      <w:r>
        <w:rPr>
          <w:caps w:val="0"/>
          <w:color w:val="483733" w:themeColor="text2"/>
        </w:rPr>
        <w:t>Hotel Management &amp; Transactions 2025: UAE</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2025-03-24</w:t>
      </w:r>
    </w:p>
    <w:p w14:paraId="38DC0FB2" w14:textId="77777777" w:rsidR="0046190E" w:rsidRDefault="0046190E" w:rsidP="0046190E">
      <w:pPr>
        <w:pStyle w:val="H3"/>
        <w:spacing w:before="0"/>
        <w:rPr>
          <w:caps w:val="0"/>
          <w:noProof w:val="0"/>
          <w:color w:val="483733" w:themeColor="text2"/>
        </w:rPr>
      </w:pPr>
      <w:r>
        <w:rPr>
          <w:caps w:val="0"/>
          <w:color w:val="483733" w:themeColor="text2"/>
        </w:rPr>
        <w:t>Tools of the Trade: Reacting to Government Contract Terminations and Pauses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2025-03-05</w:t>
      </w:r>
    </w:p>
    <w:p w14:paraId="38DC0FB2" w14:textId="77777777" w:rsidR="0046190E" w:rsidRDefault="0046190E" w:rsidP="0046190E">
      <w:pPr>
        <w:pStyle w:val="H3"/>
        <w:spacing w:before="0"/>
        <w:rPr>
          <w:caps w:val="0"/>
          <w:noProof w:val="0"/>
          <w:color w:val="483733" w:themeColor="text2"/>
        </w:rPr>
      </w:pPr>
      <w:r>
        <w:rPr>
          <w:caps w:val="0"/>
          <w:color w:val="483733" w:themeColor="text2"/>
        </w:rPr>
        <w:t>DOJ Continues Cybersecurity False Claims Act Enforcement in New Administration</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2025-08-21</w:t>
      </w:r>
    </w:p>
    <w:p w14:paraId="4BD15F45" w14:textId="77777777" w:rsidR="009816A0" w:rsidRDefault="009816A0" w:rsidP="009816A0">
      <w:pPr>
        <w:pStyle w:val="H3"/>
        <w:spacing w:before="0"/>
        <w:rPr>
          <w:caps w:val="0"/>
          <w:noProof w:val="0"/>
          <w:color w:val="483733" w:themeColor="text2"/>
        </w:rPr>
      </w:pPr>
      <w:r>
        <w:rPr>
          <w:caps w:val="0"/>
          <w:color w:val="483733" w:themeColor="text2"/>
        </w:rPr>
        <w:t>Michael Galdo to Speak at Fed Supernova</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2024-06-04</w:t>
      </w:r>
    </w:p>
    <w:p w14:paraId="4BD15F45" w14:textId="77777777" w:rsidR="009816A0" w:rsidRDefault="009816A0" w:rsidP="009816A0">
      <w:pPr>
        <w:pStyle w:val="H3"/>
        <w:spacing w:before="0"/>
        <w:rPr>
          <w:caps w:val="0"/>
          <w:noProof w:val="0"/>
          <w:color w:val="483733" w:themeColor="text2"/>
        </w:rPr>
      </w:pPr>
      <w:r>
        <w:rPr>
          <w:caps w:val="0"/>
          <w:color w:val="483733" w:themeColor="text2"/>
        </w:rPr>
        <w:t>K&amp;S Panelists to Speak at Denmark/U.S. Defense Industry Conference</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Conference</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2023-10-25</w:t>
      </w:r>
    </w:p>
    <w:p w14:paraId="4BD15F45" w14:textId="77777777" w:rsidR="009816A0" w:rsidRDefault="009816A0" w:rsidP="009816A0">
      <w:pPr>
        <w:pStyle w:val="H3"/>
        <w:spacing w:before="0"/>
        <w:rPr>
          <w:caps w:val="0"/>
          <w:noProof w:val="0"/>
          <w:color w:val="483733" w:themeColor="text2"/>
        </w:rPr>
      </w:pPr>
      <w:r>
        <w:rPr>
          <w:caps w:val="0"/>
          <w:color w:val="483733" w:themeColor="text2"/>
        </w:rPr>
        <w:t>Federal M&amp;A Outlook 2024</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2024-07-30</w:t>
      </w:r>
    </w:p>
    <w:p w14:paraId="5700260F" w14:textId="77777777" w:rsidR="00F21DCE" w:rsidRDefault="00F21DCE" w:rsidP="00F21DCE">
      <w:pPr>
        <w:pStyle w:val="H3"/>
        <w:spacing w:before="0"/>
        <w:rPr>
          <w:caps w:val="0"/>
          <w:noProof w:val="0"/>
          <w:color w:val="483733" w:themeColor="text2"/>
        </w:rPr>
      </w:pPr>
      <w:r>
        <w:rPr>
          <w:caps w:val="0"/>
          <w:color w:val="483733" w:themeColor="text2"/>
        </w:rPr>
        <w:t>Austin Evans, Chris Burris, Jeff Telep, Paul Murphy and Steve Cummings represent C-A-T Resources and Henry Schein in a False Claims Act dispute before a Pennsylvania federal court</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2024-04-01</w:t>
      </w:r>
    </w:p>
    <w:p w14:paraId="5700260F" w14:textId="77777777" w:rsidR="00F21DCE" w:rsidRDefault="00F21DCE" w:rsidP="00F21DCE">
      <w:pPr>
        <w:pStyle w:val="H3"/>
        <w:spacing w:before="0"/>
        <w:rPr>
          <w:caps w:val="0"/>
          <w:noProof w:val="0"/>
          <w:color w:val="483733" w:themeColor="text2"/>
        </w:rPr>
      </w:pPr>
      <w:r>
        <w:rPr>
          <w:caps w:val="0"/>
          <w:color w:val="483733" w:themeColor="text2"/>
        </w:rPr>
        <w:t>Charles Katz, Drew Pollekoff, Steve Cave, Megan Larsen and Lauren Horneffer counsel ManTech</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2024-03-14</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 advises middle market private equity firm J.F. Lehman in its affiliate’s acquisition of Mission Microwave Technologies</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16" TargetMode="External" Id="rId13"/><Relationship Type="http://schemas.openxmlformats.org/officeDocument/2006/relationships/hyperlink" Target="https://www.kslaw.com/news-and-insights?capability_id=116&amp;post_category_id=1&amp;post_type=0" TargetMode="External" Id="rId14"/><Relationship Type="http://schemas.openxmlformats.org/officeDocument/2006/relationships/hyperlink" Target="https://www.kslaw.com/news-and-insights?capability_id=116&amp;post_type=2" TargetMode="External" Id="rId15"/><Relationship Type="http://schemas.openxmlformats.org/officeDocument/2006/relationships/hyperlink" Target="https://www.kslaw.com/news-and-insights?capability_id=116&amp;post_type=1" TargetMode="External" Id="rId16"/><Relationship Type="http://schemas.openxmlformats.org/officeDocument/2006/relationships/hyperlink" Target="https://www.kslaw.com/news-and-insights?capability_id=116&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