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Government Advocacy and Public Policy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Government Advocacy &amp; Public Policy team advances the goals of corporations, associations, governments, and other organizations by understanding their interests, applying practical governmental and political experience, and leveraging bipartisan relationships to ensure clients maximize their exposure and influence in Washington. Our lobbying practice efficiently leverages the deep-seated industry and technical experience held by the 1300+ lawyers across the firm to provide government advocacy plans that are tailored to each client’s objectives. Our team includes well-known figures in public policy advocacy, each with decades of experience at the highest reaches of government, including practice co-chair Tom Spulak, Gov. Robert Ehrlich, Rep. Ander Crenshaw, Rep. Kendrick Meek, J.C. Boggs, Steve Kupka, Allison Kassir, Daniel R. Coats, and Daniel Lungren.</w:t>
      </w:r>
    </w:p>
    <w:p>
      <w:pPr>
        <w:pStyle w:val="Paragraph"/>
      </w:pPr>
      <w:r>
        <w:t xml:space="preserve">We also work closely with the firm’s pre-eminent Congressional investigations team known for its representation of global brands as these corporations respond to high-profile and high-stakes Congressional investigations. Led by co-chairs Dan Donovan and Sally Yates, the team effectively guides clients through the unique Congressional investigations experience while minimizing the legal and public relations risk these inquiries often pose.</w:t>
      </w:r>
    </w:p>
    <w:p>
      <w:pPr>
        <w:pStyle w:val="Paragraph"/>
      </w:pPr>
      <w:r>
        <w:t xml:space="preserve">Our team also provides counseling and representation on executive and congressional ethics as well as election law at the state and federal levels. Team members draw upon their extensive experience with highly technical congressional procedures which can be an invaluable factor in clients’ legislative victories.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Daniel E. Lungren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Sally Q. Yates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Jim C. Miller III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Kendrick B. Meek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Thomas J. Spulak</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Robert L. Ehrlich, Jr.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#1 among 50 leading lobbying practices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NLJ “Influence 50” 2015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Congressional Investigations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3 for Government Relations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2022-12-23</w:t>
      </w:r>
    </w:p>
    <w:p w14:paraId="636140DC" w14:textId="77777777" w:rsidR="001C65B2" w:rsidRDefault="001C65B2" w:rsidP="001C65B2">
      <w:pPr>
        <w:pStyle w:val="H3"/>
        <w:spacing w:before="0"/>
        <w:rPr>
          <w:caps w:val="0"/>
          <w:noProof w:val="0"/>
          <w:color w:val="483733" w:themeColor="text2"/>
        </w:rPr>
      </w:pPr>
      <w:r>
        <w:rPr>
          <w:caps w:val="0"/>
          <w:color w:val="483733" w:themeColor="text2"/>
        </w:rPr>
        <w:t>K&amp;S Advises Daniel Anderl Judicial Protection Project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2016-02-29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Wins Federal Jury Trial in Key Off-Label Marketing Case on Behalf of Vascular Solutions Inc.</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2025-11-19</w:t>
      </w:r>
    </w:p>
    <w:p w14:paraId="38DC0FB2" w14:textId="77777777" w:rsidR="0046190E" w:rsidRDefault="0046190E" w:rsidP="0046190E">
      <w:pPr>
        <w:pStyle w:val="H3"/>
        <w:spacing w:before="0"/>
        <w:rPr>
          <w:caps w:val="0"/>
          <w:noProof w:val="0"/>
          <w:color w:val="483733" w:themeColor="text2"/>
        </w:rPr>
      </w:pPr>
      <w:r>
        <w:rPr>
          <w:caps w:val="0"/>
          <w:color w:val="483733" w:themeColor="text2"/>
        </w:rPr>
        <w:t>2026 Physician Fee Schedule Final Rule Changes to ASP Calculation and Reporting Policies and Other Drug Payment Policies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2025-10-22</w:t>
      </w:r>
    </w:p>
    <w:p w14:paraId="38DC0FB2" w14:textId="77777777" w:rsidR="0046190E" w:rsidRDefault="0046190E" w:rsidP="0046190E">
      <w:pPr>
        <w:pStyle w:val="H3"/>
        <w:spacing w:before="0"/>
        <w:rPr>
          <w:caps w:val="0"/>
          <w:noProof w:val="0"/>
          <w:color w:val="483733" w:themeColor="text2"/>
        </w:rPr>
      </w:pPr>
      <w:r>
        <w:rPr>
          <w:caps w:val="0"/>
          <w:color w:val="483733" w:themeColor="text2"/>
        </w:rPr>
        <w:t>Evergreen CITs: A Scalable Solution for Alternative Assets in 401(k) Plans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Thought Leadership</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2025-09-18</w:t>
      </w:r>
    </w:p>
    <w:p w14:paraId="38DC0FB2" w14:textId="77777777" w:rsidR="0046190E" w:rsidRDefault="0046190E" w:rsidP="0046190E">
      <w:pPr>
        <w:pStyle w:val="H3"/>
        <w:spacing w:before="0"/>
        <w:rPr>
          <w:caps w:val="0"/>
          <w:noProof w:val="0"/>
          <w:color w:val="483733" w:themeColor="text2"/>
        </w:rPr>
      </w:pPr>
      <w:r>
        <w:rPr>
          <w:caps w:val="0"/>
          <w:color w:val="483733" w:themeColor="text2"/>
        </w:rPr>
        <w:t>Brussels Antitrust Practice Publishes Study on behalf of CCIA Europe Examining EU Digital Markets Act Procedures, Proposes Reforms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2025-11-05</w:t>
      </w:r>
    </w:p>
    <w:p w14:paraId="4BD15F45" w14:textId="77777777" w:rsidR="009816A0" w:rsidRDefault="009816A0" w:rsidP="009816A0">
      <w:pPr>
        <w:pStyle w:val="H3"/>
        <w:spacing w:before="0"/>
        <w:rPr>
          <w:caps w:val="0"/>
          <w:noProof w:val="0"/>
          <w:color w:val="483733" w:themeColor="text2"/>
        </w:rPr>
      </w:pPr>
      <w:r>
        <w:rPr>
          <w:caps w:val="0"/>
          <w:color w:val="483733" w:themeColor="text2"/>
        </w:rPr>
        <w:t>Ryan Majerus to Speak at the Georgetown Law’s Institute of International Economic Law, Global Trade Academy</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2025-10-29</w:t>
      </w:r>
    </w:p>
    <w:p w14:paraId="4BD15F45" w14:textId="77777777" w:rsidR="009816A0" w:rsidRDefault="009816A0" w:rsidP="009816A0">
      <w:pPr>
        <w:pStyle w:val="H3"/>
        <w:spacing w:before="0"/>
        <w:rPr>
          <w:caps w:val="0"/>
          <w:noProof w:val="0"/>
          <w:color w:val="483733" w:themeColor="text2"/>
        </w:rPr>
      </w:pPr>
      <w:r>
        <w:rPr>
          <w:caps w:val="0"/>
          <w:color w:val="483733" w:themeColor="text2"/>
        </w:rPr>
        <w:t>J.C. Boggs to Speak at the 2025 Miami Cybersecurity and Counterterrorism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2025-10-03</w:t>
      </w:r>
    </w:p>
    <w:p w14:paraId="4BD15F45" w14:textId="77777777" w:rsidR="009816A0" w:rsidRDefault="009816A0" w:rsidP="009816A0">
      <w:pPr>
        <w:pStyle w:val="H3"/>
        <w:spacing w:before="0"/>
        <w:rPr>
          <w:caps w:val="0"/>
          <w:noProof w:val="0"/>
          <w:color w:val="483733" w:themeColor="text2"/>
        </w:rPr>
      </w:pPr>
      <w:r>
        <w:rPr>
          <w:caps w:val="0"/>
          <w:color w:val="483733" w:themeColor="text2"/>
        </w:rPr>
        <w:t>Ryan Majerus to Speak at the Washington International Trade Association (WITA) Academy Virtual Intensive Trade Seminar</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2025-12-11</w:t>
      </w:r>
    </w:p>
    <w:p w14:paraId="5700260F" w14:textId="77777777" w:rsidR="00F21DCE" w:rsidRDefault="00F21DCE" w:rsidP="00F21DCE">
      <w:pPr>
        <w:pStyle w:val="H3"/>
        <w:spacing w:before="0"/>
        <w:rPr>
          <w:caps w:val="0"/>
          <w:noProof w:val="0"/>
          <w:color w:val="483733" w:themeColor="text2"/>
        </w:rPr>
      </w:pPr>
      <w:r>
        <w:rPr>
          <w:caps w:val="0"/>
          <w:color w:val="483733" w:themeColor="text2"/>
        </w:rPr>
        <w:t>The Hill Names Allison Kassir a Top Lobbyist</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Spulak comments on Linda Sun being indicted for allegedly using her job to benefit the Chinese government in exchange for millions in payments to her husband’s business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2025-11-06</w:t>
      </w:r>
    </w:p>
    <w:p w14:paraId="5700260F" w14:textId="77777777" w:rsidR="00F21DCE" w:rsidRDefault="00F21DCE" w:rsidP="00F21DCE">
      <w:pPr>
        <w:pStyle w:val="H3"/>
        <w:spacing w:before="0"/>
        <w:rPr>
          <w:caps w:val="0"/>
          <w:noProof w:val="0"/>
          <w:color w:val="483733" w:themeColor="text2"/>
        </w:rPr>
      </w:pPr>
      <w:r>
        <w:rPr>
          <w:caps w:val="0"/>
          <w:color w:val="483733" w:themeColor="text2"/>
        </w:rPr>
        <w:t>Best Lawyers Names King &amp; Spalding Law Firm of the Year for FDA Law and Recognizes 41 Practices in its 2026 “Best Law Firms” Guide</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3" TargetMode="External" Id="rId13"/><Relationship Type="http://schemas.openxmlformats.org/officeDocument/2006/relationships/hyperlink" Target="https://www.kslaw.com/news-and-insights?capability_id=23&amp;post_category_id=1&amp;post_type=0" TargetMode="External" Id="rId14"/><Relationship Type="http://schemas.openxmlformats.org/officeDocument/2006/relationships/hyperlink" Target="https://www.kslaw.com/news-and-insights?capability_id=23&amp;post_type=2" TargetMode="External" Id="rId15"/><Relationship Type="http://schemas.openxmlformats.org/officeDocument/2006/relationships/hyperlink" Target="https://www.kslaw.com/news-and-insights?capability_id=23&amp;post_type=1" TargetMode="External" Id="rId16"/><Relationship Type="http://schemas.openxmlformats.org/officeDocument/2006/relationships/hyperlink" Target="https://www.kslaw.com/news-and-insights?capability_id=23&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