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Fund Finance</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Our Fund Finance practice comprises dedicated professionals who have been advising both lender and borrower clients across all asset classes since the inception of the fund finance market across all fund finance primary products including subscription credit and hybrid facilities, NAV financing, GP financing, executive programmes, back-leverage and hybrid preferred equity structures as well as distribution solutions, including structured note programmes and JV structures.</w:t>
      </w:r>
    </w:p>
    <w:p>
      <w:pPr>
        <w:pStyle w:val="Paragraph"/>
      </w:pPr>
      <w:r>
        <w:t xml:space="preserve">We offer clients unrivalled cross-border capabilities and experience with respect to the legal and commercial issues relevant to lenders and borrowers of these products. We pride ourselves on our ability to understand the dynamics of our clients’ businesses and our ability to deliver practical, innovative and business-focussed solutions.</w:t>
      </w:r>
    </w:p>
    <w:p>
      <w:pPr>
        <w:pStyle w:val="Paragraph"/>
      </w:pPr>
      <w:r>
        <w:t xml:space="preserve">As one of the only law firms with a dedicated Fund Capital Solutions &amp; Advisory practice, we provide both lenders and borrowers with commercial and legal advice relating to fund finance and liquidity. This places us in a unique position to provide a wide breadth of advice and insight unlike any other law firm. </w:t>
      </w:r>
    </w:p>
    <w:p>
      <w:pPr>
        <w:pStyle w:val="Paragraph"/>
      </w:pPr>
      <w:r>
        <w:t xml:space="preserve">Our team has represented banks as lenders, lead agents, alternative capital providers and direct lenders across a variety of industries – including middle-market lending, real estate and healthcare. Our representation spans across both bilateral and syndicated facilities governed by both New York law and English law. Our professionals also have borrower-side experience, which allows us to provide the most well-rounded advice.</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Samantha M. Hutchinson</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London</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Nathan R. Parker</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London</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Mathan Navaratnam</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London</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James T. Hoggett</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London</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Dan Marcus</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London</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Michael B. Hubbard</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London</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Band 1 for Banking and Finance: Fund Finance</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UK, 2025-2026</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Tier 1 in Fund Finance</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Legal 500 UK,  2025-2026</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"King &amp; Spalding has extremely competent partners who can go toe-to-toe with other counsel on sophisticated matters. They are very experienced and detail-focused."</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Banking &amp; Finance: Fund Finance, Chambers UK 2025</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2025-04-04</w:t>
      </w:r>
    </w:p>
    <w:p w14:paraId="38DC0FB2" w14:textId="77777777" w:rsidR="0046190E" w:rsidRDefault="0046190E" w:rsidP="0046190E">
      <w:pPr>
        <w:pStyle w:val="H3"/>
        <w:spacing w:before="0"/>
        <w:rPr>
          <w:caps w:val="0"/>
          <w:noProof w:val="0"/>
          <w:color w:val="483733" w:themeColor="text2"/>
        </w:rPr>
      </w:pPr>
      <w:r>
        <w:rPr>
          <w:caps w:val="0"/>
          <w:color w:val="483733" w:themeColor="text2"/>
        </w:rPr>
        <w:t>NAV Financing: Behind the Headlines</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Thought Leadership</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2025-02-27</w:t>
      </w:r>
    </w:p>
    <w:p w14:paraId="38DC0FB2" w14:textId="77777777" w:rsidR="0046190E" w:rsidRDefault="0046190E" w:rsidP="0046190E">
      <w:pPr>
        <w:pStyle w:val="H3"/>
        <w:spacing w:before="0"/>
        <w:rPr>
          <w:caps w:val="0"/>
          <w:noProof w:val="0"/>
          <w:color w:val="483733" w:themeColor="text2"/>
        </w:rPr>
      </w:pPr>
      <w:r>
        <w:rPr>
          <w:caps w:val="0"/>
          <w:color w:val="483733" w:themeColor="text2"/>
        </w:rPr>
        <w:t>Samantha Hutchinson Appointed to Fund Finance Executive Committee of the LMA</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2025-02-25</w:t>
      </w:r>
    </w:p>
    <w:p w14:paraId="38DC0FB2" w14:textId="77777777" w:rsidR="0046190E" w:rsidRDefault="0046190E" w:rsidP="0046190E">
      <w:pPr>
        <w:pStyle w:val="H3"/>
        <w:spacing w:before="0"/>
        <w:rPr>
          <w:caps w:val="0"/>
          <w:noProof w:val="0"/>
          <w:color w:val="483733" w:themeColor="text2"/>
        </w:rPr>
      </w:pPr>
      <w:r>
        <w:rPr>
          <w:caps w:val="0"/>
          <w:color w:val="483733" w:themeColor="text2"/>
        </w:rPr>
        <w:t>SEC Creates Crypto Task Force and Pivots Away from Regulation by Enforcement</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2025-09-18</w:t>
      </w:r>
    </w:p>
    <w:p w14:paraId="4BD15F45" w14:textId="77777777" w:rsidR="009816A0" w:rsidRDefault="009816A0" w:rsidP="009816A0">
      <w:pPr>
        <w:pStyle w:val="H3"/>
        <w:spacing w:before="0"/>
        <w:rPr>
          <w:caps w:val="0"/>
          <w:noProof w:val="0"/>
          <w:color w:val="483733" w:themeColor="text2"/>
        </w:rPr>
      </w:pPr>
      <w:r>
        <w:rPr>
          <w:caps w:val="0"/>
          <w:color w:val="483733" w:themeColor="text2"/>
        </w:rPr>
        <w:t>Michael Hubbard to speak at 9th Annual Fund Finance European Symposium</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2025-06-26</w:t>
      </w:r>
    </w:p>
    <w:p w14:paraId="4BD15F45" w14:textId="77777777" w:rsidR="009816A0" w:rsidRDefault="009816A0" w:rsidP="009816A0">
      <w:pPr>
        <w:pStyle w:val="H3"/>
        <w:spacing w:before="0"/>
        <w:rPr>
          <w:caps w:val="0"/>
          <w:noProof w:val="0"/>
          <w:color w:val="483733" w:themeColor="text2"/>
        </w:rPr>
      </w:pPr>
      <w:r>
        <w:rPr>
          <w:caps w:val="0"/>
          <w:color w:val="483733" w:themeColor="text2"/>
        </w:rPr>
        <w:t>Sam Hutchinson to Speaker at the LMA Evening Seminar</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2025-03-26</w:t>
      </w:r>
    </w:p>
    <w:p w14:paraId="4BD15F45" w14:textId="77777777" w:rsidR="009816A0" w:rsidRDefault="009816A0" w:rsidP="009816A0">
      <w:pPr>
        <w:pStyle w:val="H3"/>
        <w:spacing w:before="0"/>
        <w:rPr>
          <w:caps w:val="0"/>
          <w:noProof w:val="0"/>
          <w:color w:val="483733" w:themeColor="text2"/>
        </w:rPr>
      </w:pPr>
      <w:r>
        <w:rPr>
          <w:caps w:val="0"/>
          <w:color w:val="483733" w:themeColor="text2"/>
        </w:rPr>
        <w:t>Sam Hutchinson to Speak at Private Credit Conference</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Recognition</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2025-10-16</w:t>
      </w:r>
    </w:p>
    <w:p w14:paraId="5700260F" w14:textId="77777777" w:rsidR="00F21DCE" w:rsidRDefault="00F21DCE" w:rsidP="00F21DCE">
      <w:pPr>
        <w:pStyle w:val="H3"/>
        <w:spacing w:before="0"/>
        <w:rPr>
          <w:caps w:val="0"/>
          <w:noProof w:val="0"/>
          <w:color w:val="483733" w:themeColor="text2"/>
        </w:rPr>
      </w:pPr>
      <w:r>
        <w:rPr>
          <w:caps w:val="0"/>
          <w:color w:val="483733" w:themeColor="text2"/>
        </w:rPr>
        <w:t>King &amp; Spalding Recognized With Multiple Rankings in Chambers UK 2026 Guide</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Recognition</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2025-10-01</w:t>
      </w:r>
    </w:p>
    <w:p w14:paraId="5700260F" w14:textId="77777777" w:rsidR="00F21DCE" w:rsidRDefault="00F21DCE" w:rsidP="00F21DCE">
      <w:pPr>
        <w:pStyle w:val="H3"/>
        <w:spacing w:before="0"/>
        <w:rPr>
          <w:caps w:val="0"/>
          <w:noProof w:val="0"/>
          <w:color w:val="483733" w:themeColor="text2"/>
        </w:rPr>
      </w:pPr>
      <w:r>
        <w:rPr>
          <w:caps w:val="0"/>
          <w:color w:val="483733" w:themeColor="text2"/>
        </w:rPr>
        <w:t>Legal 500 UK 2026 Recognizes King &amp; Spalding Among Leading UK Law Firms</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2025-08-01</w:t>
      </w:r>
    </w:p>
    <w:p w14:paraId="5700260F" w14:textId="77777777" w:rsidR="00F21DCE" w:rsidRDefault="00F21DCE" w:rsidP="00F21DCE">
      <w:pPr>
        <w:pStyle w:val="H3"/>
        <w:spacing w:before="0"/>
        <w:rPr>
          <w:caps w:val="0"/>
          <w:noProof w:val="0"/>
          <w:color w:val="483733" w:themeColor="text2"/>
        </w:rPr>
      </w:pPr>
      <w:r>
        <w:rPr>
          <w:caps w:val="0"/>
          <w:color w:val="483733" w:themeColor="text2"/>
        </w:rPr>
        <w:t>Sam Hutchinson is quoted in a profile examining why discussions about the potential use of NAV facilities are now taking place earlier</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134" TargetMode="External" Id="rId13"/><Relationship Type="http://schemas.openxmlformats.org/officeDocument/2006/relationships/hyperlink" Target="https://www.kslaw.com/news-and-insights?capability_id=134&amp;post_type=2" TargetMode="External" Id="rId14"/><Relationship Type="http://schemas.openxmlformats.org/officeDocument/2006/relationships/hyperlink" Target="https://www.kslaw.com/news-and-insights?capability_id=134&amp;post_type=1" TargetMode="External" Id="rId15"/><Relationship Type="http://schemas.openxmlformats.org/officeDocument/2006/relationships/hyperlink" Target="https://www.kslaw.com/news-and-insights?capability_id=134&amp;post_type=0" TargetMode="External" Id="rId16"/></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