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Food and Beverage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For nearly a century, King &amp; Spalding has been on the front lines of nearly every major issue affecting the food &amp; beverage industry, helping clients understand how these issues can affect their businesses, assess and minimize risk, and identify the best path to their objectives. Our food and beverage lawyers across the United States, Europe, the Middle East and Asia support food and beverage manufacturers, food industry trade associations, restaurant chains, and other businesses in the food supply chain in all aspects of their regulatory compliance matters and transactions and counsel on every issue in the product’s life cycle. Our clients turn to us for our leading regulatory practices, our strong grasp of the scientific and technical issues, and our ability to call on our highly respected complementary practices, such as Intellectual Property, International Trade, Dispute Resolution, Environmental, Health &amp; Safety, and Transactions. </w:t>
      </w:r>
    </w:p>
    <w:p>
      <w:pPr>
        <w:pStyle w:val="Paragraph"/>
      </w:pPr>
      <w:r>
        <w:t xml:space="preserve">With our global platform, we have the ability to provide world-class legal services across the full range of legal practice disciplines implicated by our clients’ businesses, including U.S. FDA and EU regulatory, litigation, intellectual property, international trade, environmental health &amp; safety and corporate governance and transactions. Our food and beverage lawyers work as a closely integrated team across the globe to ensure the best possible results for our clients.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Ulf H. Grundmann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Frankfurt</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Smitha G. Stansbury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Keri Borders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Los Angeles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Dale Giali</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Los Angeles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Michael L. Resch</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San Francisco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Livia M. Kiser (Liv)</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Chicago</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Band 1 (Nationwide) for Food &amp; Beverages: Regulatory &amp; Litigation</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2023</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Named “Law Firm of the Year” for FDA Law</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U.S. News and World Report</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"King &amp; Spalding's group has a strong depth of expertise and experience they can tap into to handle complex topics."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2023 - Quoting Clients</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2025-09-24</w:t>
      </w:r>
    </w:p>
    <w:p w14:paraId="636140DC" w14:textId="77777777" w:rsidR="001C65B2" w:rsidRDefault="001C65B2" w:rsidP="001C65B2">
      <w:pPr>
        <w:pStyle w:val="H3"/>
        <w:spacing w:before="0"/>
        <w:rPr>
          <w:caps w:val="0"/>
          <w:noProof w:val="0"/>
          <w:color w:val="483733" w:themeColor="text2"/>
        </w:rPr>
      </w:pPr>
      <w:r>
        <w:rPr>
          <w:caps w:val="0"/>
          <w:color w:val="483733" w:themeColor="text2"/>
        </w:rPr>
        <w:t>European-Headquartered Global Investment Bank Completes Offering of Notes Backed by a Whole-Business Securitization</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2025-08-07</w:t>
      </w:r>
    </w:p>
    <w:p w14:paraId="636140DC" w14:textId="77777777" w:rsidR="001C65B2" w:rsidRDefault="001C65B2" w:rsidP="001C65B2">
      <w:pPr>
        <w:pStyle w:val="H3"/>
        <w:spacing w:before="0"/>
        <w:rPr>
          <w:caps w:val="0"/>
          <w:noProof w:val="0"/>
          <w:color w:val="483733" w:themeColor="text2"/>
        </w:rPr>
      </w:pPr>
      <w:r>
        <w:rPr>
          <w:caps w:val="0"/>
          <w:color w:val="483733" w:themeColor="text2"/>
        </w:rPr>
        <w:t>European-Headquartered Global Investment Bank Completes Series 2025-1 Note</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2025-03-19</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Obtains Dismissal of a Putative Class Action Challenging Advertising of Beech-Nut Baby Food</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2025-07-03</w:t>
      </w:r>
    </w:p>
    <w:p w14:paraId="38DC0FB2" w14:textId="77777777" w:rsidR="0046190E" w:rsidRDefault="0046190E" w:rsidP="0046190E">
      <w:pPr>
        <w:pStyle w:val="H3"/>
        <w:spacing w:before="0"/>
        <w:rPr>
          <w:caps w:val="0"/>
          <w:noProof w:val="0"/>
          <w:color w:val="483733" w:themeColor="text2"/>
        </w:rPr>
      </w:pPr>
      <w:r>
        <w:rPr>
          <w:caps w:val="0"/>
          <w:color w:val="483733" w:themeColor="text2"/>
        </w:rPr>
        <w:t>European Court of Justice Restricts Advertising for Food with Botanicals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2025-06-12</w:t>
      </w:r>
    </w:p>
    <w:p w14:paraId="38DC0FB2" w14:textId="77777777" w:rsidR="0046190E" w:rsidRDefault="0046190E" w:rsidP="0046190E">
      <w:pPr>
        <w:pStyle w:val="H3"/>
        <w:spacing w:before="0"/>
        <w:rPr>
          <w:caps w:val="0"/>
          <w:noProof w:val="0"/>
          <w:color w:val="483733" w:themeColor="text2"/>
        </w:rPr>
      </w:pPr>
      <w:r>
        <w:rPr>
          <w:caps w:val="0"/>
          <w:color w:val="483733" w:themeColor="text2"/>
        </w:rPr>
        <w:t>5 Open Questions About FDA's AI-Assisted Review Plans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2025-05-08</w:t>
      </w:r>
    </w:p>
    <w:p w14:paraId="38DC0FB2" w14:textId="77777777" w:rsidR="0046190E" w:rsidRDefault="0046190E" w:rsidP="0046190E">
      <w:pPr>
        <w:pStyle w:val="H3"/>
        <w:spacing w:before="0"/>
        <w:rPr>
          <w:caps w:val="0"/>
          <w:noProof w:val="0"/>
          <w:color w:val="483733" w:themeColor="text2"/>
        </w:rPr>
      </w:pPr>
      <w:r>
        <w:rPr>
          <w:caps w:val="0"/>
          <w:color w:val="483733" w:themeColor="text2"/>
        </w:rPr>
        <w:t>New Federal Court Decision Holds Proposition 65 Warnings Are Not Required Where There Was No Scientific Consensus on the Carcinogenicity of the Chemical in the Product</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2025-10-28</w:t>
      </w:r>
    </w:p>
    <w:p w14:paraId="4BD15F45" w14:textId="77777777" w:rsidR="009816A0" w:rsidRDefault="009816A0" w:rsidP="009816A0">
      <w:pPr>
        <w:pStyle w:val="H3"/>
        <w:spacing w:before="0"/>
        <w:rPr>
          <w:caps w:val="0"/>
          <w:noProof w:val="0"/>
          <w:color w:val="483733" w:themeColor="text2"/>
        </w:rPr>
      </w:pPr>
      <w:r>
        <w:rPr>
          <w:caps w:val="0"/>
          <w:color w:val="483733" w:themeColor="text2"/>
        </w:rPr>
        <w:t>International Trade Law in the Food and Beverage Sector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2025-02-27</w:t>
      </w:r>
    </w:p>
    <w:p w14:paraId="4BD15F45" w14:textId="77777777" w:rsidR="009816A0" w:rsidRDefault="009816A0" w:rsidP="009816A0">
      <w:pPr>
        <w:pStyle w:val="H3"/>
        <w:spacing w:before="0"/>
        <w:rPr>
          <w:caps w:val="0"/>
          <w:noProof w:val="0"/>
          <w:color w:val="483733" w:themeColor="text2"/>
        </w:rPr>
      </w:pPr>
      <w:r>
        <w:rPr>
          <w:caps w:val="0"/>
          <w:color w:val="483733" w:themeColor="text2"/>
        </w:rPr>
        <w:t>Dale Giali to Speak at the 2025 Consumer Packaged Goods (CPG) Legal Forum</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Webinar</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2025-01-28</w:t>
      </w:r>
    </w:p>
    <w:p w14:paraId="4BD15F45" w14:textId="77777777" w:rsidR="009816A0" w:rsidRDefault="009816A0" w:rsidP="009816A0">
      <w:pPr>
        <w:pStyle w:val="H3"/>
        <w:spacing w:before="0"/>
        <w:rPr>
          <w:caps w:val="0"/>
          <w:noProof w:val="0"/>
          <w:color w:val="483733" w:themeColor="text2"/>
        </w:rPr>
      </w:pPr>
      <w:r>
        <w:rPr>
          <w:caps w:val="0"/>
          <w:color w:val="483733" w:themeColor="text2"/>
        </w:rPr>
        <w:t>Food for Thought: What the Food &amp; Beverage Industry Can Expect in 2025</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2025-11-17</w:t>
      </w:r>
    </w:p>
    <w:p w14:paraId="5700260F" w14:textId="77777777" w:rsidR="00F21DCE" w:rsidRDefault="00F21DCE" w:rsidP="00F21DCE">
      <w:pPr>
        <w:pStyle w:val="H3"/>
        <w:spacing w:before="0"/>
        <w:rPr>
          <w:caps w:val="0"/>
          <w:noProof w:val="0"/>
          <w:color w:val="483733" w:themeColor="text2"/>
        </w:rPr>
      </w:pPr>
      <w:r>
        <w:rPr>
          <w:caps w:val="0"/>
          <w:color w:val="483733" w:themeColor="text2"/>
        </w:rPr>
        <w:t>Partner John Carroll rejoins the firm’s Antitrust practice in Washington, D.C.</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2025-11-17</w:t>
      </w:r>
    </w:p>
    <w:p w14:paraId="5700260F" w14:textId="77777777" w:rsidR="00F21DCE" w:rsidRDefault="00F21DCE" w:rsidP="00F21DCE">
      <w:pPr>
        <w:pStyle w:val="H3"/>
        <w:spacing w:before="0"/>
        <w:rPr>
          <w:caps w:val="0"/>
          <w:noProof w:val="0"/>
          <w:color w:val="483733" w:themeColor="text2"/>
        </w:rPr>
      </w:pPr>
      <w:r>
        <w:rPr>
          <w:caps w:val="0"/>
          <w:color w:val="483733" w:themeColor="text2"/>
        </w:rPr>
        <w:t>Antitrust Partner John Carroll Returns to King &amp; Spalding in Washington, D.C.</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2025-08-18</w:t>
      </w:r>
    </w:p>
    <w:p w14:paraId="5700260F" w14:textId="77777777" w:rsidR="00F21DCE" w:rsidRDefault="00F21DCE" w:rsidP="00F21DCE">
      <w:pPr>
        <w:pStyle w:val="H3"/>
        <w:spacing w:before="0"/>
        <w:rPr>
          <w:caps w:val="0"/>
          <w:noProof w:val="0"/>
          <w:color w:val="483733" w:themeColor="text2"/>
        </w:rPr>
      </w:pPr>
      <w:r>
        <w:rPr>
          <w:caps w:val="0"/>
          <w:color w:val="483733" w:themeColor="text2"/>
        </w:rPr>
        <w:t>Intellectual property and technology litigator Amadou Kilkenny Diaw joins the firm’s Business Litigation practice group as partners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05" TargetMode="External" Id="rId13"/><Relationship Type="http://schemas.openxmlformats.org/officeDocument/2006/relationships/hyperlink" Target="https://www.kslaw.com/news-and-insights?capability_id=105&amp;post_category_id=1&amp;post_type=0" TargetMode="External" Id="rId14"/><Relationship Type="http://schemas.openxmlformats.org/officeDocument/2006/relationships/hyperlink" Target="https://www.kslaw.com/news-and-insights?capability_id=105&amp;post_type=2" TargetMode="External" Id="rId15"/><Relationship Type="http://schemas.openxmlformats.org/officeDocument/2006/relationships/hyperlink" Target="https://www.kslaw.com/news-and-insights?capability_id=105&amp;post_type=1" TargetMode="External" Id="rId16"/><Relationship Type="http://schemas.openxmlformats.org/officeDocument/2006/relationships/hyperlink" Target="https://www.kslaw.com/news-and-insights?capability_id=105&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