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Focus on Women's Health</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The women’s health market is predicted to be among the fastest growing investment areas within the healthcare and life sciences industry. Life sciences companies and healthcare providers, as well as the governmental bodies that regulate them, are abandoning a “one-size-fits-all” approach to treatment in favor of approaches more tailored to specific groups, including women. King &amp; Spalding’s Women’s Health team has decades of experience advising companies in this space on issues that arise throughout the lifecycle of medical products – including intellectual property issues, corporate and M&amp;A issues, FDA-related issues, issues related to product coverage and reimbursement, healthcare provider issues, and product liability issues.  Clients include drug and device manufacturers, health care providers, private equity firms, and others.  </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Lisa M. Dwyer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Shaila Rahman Diwan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TaCara Harris</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Robert B. Friedman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Ursula M. Henninger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Miami</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Meredith Redwine</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Singapore</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0CF5299C" w14:textId="77777777" w:rsidR="00E01176" w:rsidRPr="00E01176" w:rsidRDefault="00E01176" w:rsidP="00093FA0">
      <w:pPr>
        <w:pStyle w:val="H2"/>
        <w:spacing w:before="240"/>
      </w:pPr>
      <w:r w:rsidRPr="00E01176">
        <w:t>Cases &amp; Deals</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Advised the Founder, CEO and Majority Owner of Vogue International in Its $3.3 Billion Sale to Johnson &amp; Johnson Consumer Inc.</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2023-03-30</w:t>
      </w:r>
    </w:p>
    <w:p w14:paraId="38DC0FB2" w14:textId="77777777" w:rsidR="0046190E" w:rsidRDefault="0046190E" w:rsidP="0046190E">
      <w:pPr>
        <w:pStyle w:val="H3"/>
        <w:spacing w:before="0"/>
        <w:rPr>
          <w:caps w:val="0"/>
          <w:noProof w:val="0"/>
          <w:color w:val="483733" w:themeColor="text2"/>
        </w:rPr>
      </w:pPr>
      <w:r>
        <w:rPr>
          <w:caps w:val="0"/>
          <w:color w:val="483733" w:themeColor="text2"/>
        </w:rPr>
        <w:t>Product Testing, Questionable Science, and the Smallest, Big Developments in Consumer Product Litigation</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Newsletter</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2022-03-14</w:t>
      </w:r>
    </w:p>
    <w:p w14:paraId="38DC0FB2" w14:textId="77777777" w:rsidR="0046190E" w:rsidRDefault="0046190E" w:rsidP="0046190E">
      <w:pPr>
        <w:pStyle w:val="H3"/>
        <w:spacing w:before="0"/>
        <w:rPr>
          <w:caps w:val="0"/>
          <w:noProof w:val="0"/>
          <w:color w:val="483733" w:themeColor="text2"/>
        </w:rPr>
      </w:pPr>
      <w:r>
        <w:rPr>
          <w:caps w:val="0"/>
          <w:color w:val="483733" w:themeColor="text2"/>
        </w:rPr>
        <w:t>Health Headlines– March 14, 2022</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2022-02-07</w:t>
      </w:r>
    </w:p>
    <w:p w14:paraId="38DC0FB2" w14:textId="77777777" w:rsidR="0046190E" w:rsidRDefault="0046190E" w:rsidP="0046190E">
      <w:pPr>
        <w:pStyle w:val="H3"/>
        <w:spacing w:before="0"/>
        <w:rPr>
          <w:caps w:val="0"/>
          <w:noProof w:val="0"/>
          <w:color w:val="483733" w:themeColor="text2"/>
        </w:rPr>
      </w:pPr>
      <w:r>
        <w:rPr>
          <w:caps w:val="0"/>
          <w:color w:val="483733" w:themeColor="text2"/>
        </w:rPr>
        <w:t>A Pandemic Silver Lining: FDA’s New Guidance on Using Digital Health Technologies for Clinical Investigations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2023-10-17</w:t>
      </w:r>
    </w:p>
    <w:p w14:paraId="4BD15F45" w14:textId="77777777" w:rsidR="009816A0" w:rsidRDefault="009816A0" w:rsidP="009816A0">
      <w:pPr>
        <w:pStyle w:val="H3"/>
        <w:spacing w:before="0"/>
        <w:rPr>
          <w:caps w:val="0"/>
          <w:noProof w:val="0"/>
          <w:color w:val="483733" w:themeColor="text2"/>
        </w:rPr>
      </w:pPr>
      <w:r>
        <w:rPr>
          <w:caps w:val="0"/>
          <w:color w:val="483733" w:themeColor="text2"/>
        </w:rPr>
        <w:t>Eva Temkin to Speak at Fierce Biotech Summit</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2023-06-01</w:t>
      </w:r>
    </w:p>
    <w:p w14:paraId="4BD15F45" w14:textId="77777777" w:rsidR="009816A0" w:rsidRDefault="009816A0" w:rsidP="009816A0">
      <w:pPr>
        <w:pStyle w:val="H3"/>
        <w:spacing w:before="0"/>
        <w:rPr>
          <w:caps w:val="0"/>
          <w:noProof w:val="0"/>
          <w:color w:val="483733" w:themeColor="text2"/>
        </w:rPr>
      </w:pPr>
      <w:r>
        <w:rPr>
          <w:caps w:val="0"/>
          <w:color w:val="483733" w:themeColor="text2"/>
        </w:rPr>
        <w:t>Eva Temkin to Speak at 9th Annual IBA World Life Sciences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2023-05-04</w:t>
      </w:r>
    </w:p>
    <w:p w14:paraId="4BD15F45" w14:textId="77777777" w:rsidR="009816A0" w:rsidRDefault="009816A0" w:rsidP="009816A0">
      <w:pPr>
        <w:pStyle w:val="H3"/>
        <w:spacing w:before="0"/>
        <w:rPr>
          <w:caps w:val="0"/>
          <w:noProof w:val="0"/>
          <w:color w:val="483733" w:themeColor="text2"/>
        </w:rPr>
      </w:pPr>
      <w:r>
        <w:rPr>
          <w:caps w:val="0"/>
          <w:color w:val="483733" w:themeColor="text2"/>
        </w:rPr>
        <w:t>Eva Temkin to Speak on Food and Drug Law Institute Webinar</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2023-08-23</w:t>
      </w:r>
    </w:p>
    <w:p w14:paraId="5700260F" w14:textId="77777777" w:rsidR="00F21DCE" w:rsidRDefault="00F21DCE" w:rsidP="00F21DCE">
      <w:pPr>
        <w:pStyle w:val="H3"/>
        <w:spacing w:before="0"/>
        <w:rPr>
          <w:caps w:val="0"/>
          <w:noProof w:val="0"/>
          <w:color w:val="483733" w:themeColor="text2"/>
        </w:rPr>
      </w:pPr>
      <w:r>
        <w:rPr>
          <w:caps w:val="0"/>
          <w:color w:val="483733" w:themeColor="text2"/>
        </w:rPr>
        <w:t>Medical device partner Jeff Shapiro joins the firm’s Government Matters practice group in Washington, D.C.</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Press Release</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2023-08-23</w:t>
      </w:r>
    </w:p>
    <w:p w14:paraId="5700260F" w14:textId="77777777" w:rsidR="00F21DCE" w:rsidRDefault="00F21DCE" w:rsidP="00F21DCE">
      <w:pPr>
        <w:pStyle w:val="H3"/>
        <w:spacing w:before="0"/>
        <w:rPr>
          <w:caps w:val="0"/>
          <w:noProof w:val="0"/>
          <w:color w:val="483733" w:themeColor="text2"/>
        </w:rPr>
      </w:pPr>
      <w:r>
        <w:rPr>
          <w:caps w:val="0"/>
          <w:color w:val="483733" w:themeColor="text2"/>
        </w:rPr>
        <w:t>Leading Medical Device Lawyer Jeff Shapiro Joins King &amp; Spalding in Washington, D.C.</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2023-08-11</w:t>
      </w:r>
    </w:p>
    <w:p w14:paraId="5700260F" w14:textId="77777777" w:rsidR="00F21DCE" w:rsidRDefault="00F21DCE" w:rsidP="00F21DCE">
      <w:pPr>
        <w:pStyle w:val="H3"/>
        <w:spacing w:before="0"/>
        <w:rPr>
          <w:caps w:val="0"/>
          <w:noProof w:val="0"/>
          <w:color w:val="483733" w:themeColor="text2"/>
        </w:rPr>
      </w:pPr>
      <w:r>
        <w:rPr>
          <w:caps w:val="0"/>
          <w:color w:val="483733" w:themeColor="text2"/>
        </w:rPr>
        <w:t>K&amp;S obtains a favorable outcome before the Eighth Circuit which affirmed a summary judgement to Coloplast</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12" TargetMode="External" Id="rId13"/><Relationship Type="http://schemas.openxmlformats.org/officeDocument/2006/relationships/hyperlink" Target="https://www.kslaw.com/news-and-insights?capability_id=112&amp;post_category_id=1&amp;post_type=0" TargetMode="External" Id="rId14"/><Relationship Type="http://schemas.openxmlformats.org/officeDocument/2006/relationships/hyperlink" Target="https://www.kslaw.com/news-and-insights?capability_id=112&amp;post_type=2" TargetMode="External" Id="rId15"/><Relationship Type="http://schemas.openxmlformats.org/officeDocument/2006/relationships/hyperlink" Target="https://www.kslaw.com/news-and-insights?capability_id=112&amp;post_type=1" TargetMode="External" Id="rId16"/><Relationship Type="http://schemas.openxmlformats.org/officeDocument/2006/relationships/hyperlink" Target="https://www.kslaw.com/news-and-insights?capability_id=112&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