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Financial Services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Clients of all sizes spanning the financial services industry rely on King &amp; Spalding for sophisticated advice on their critical finance transactions and the complex disputes and regulatory issues that arise in relation to them. Our clients range from the largest global banks to leading regional banks to fintech startups and include a wide range of asset managers, broker dealers, private equity firms, non-bank finance companies, payment processors, and alternative capital providers. These clients turn to our multi-disciplinary team of nearly 500 lawyers worldwide to guide them through secured and unsecured lending, capital markets, specialty finance, securitization and other types of transactions, as well as commercial litigation and arbitration, securities and shareholder suits, multijurisdictional investigations and enforcement actions.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Carolyn Zander Alford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Matthew L. Biben (Matt)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Jonathan Brereton (Andrew)</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Singapore</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Craig Carpenito</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Jamie Dycus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Dixie L. Johnson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among the leading firms for Financial Services Litigation</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Tier 1 - Financial Services Regulation: Broker-Dealers Nationwide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among the leading firms for Banking &amp; Finance Nationwide, and in Georgia, Illinois, New York, North Carolina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2025-11-06</w:t>
      </w:r>
    </w:p>
    <w:p w14:paraId="636140DC" w14:textId="77777777" w:rsidR="001C65B2" w:rsidRDefault="001C65B2" w:rsidP="001C65B2">
      <w:pPr>
        <w:pStyle w:val="H3"/>
        <w:spacing w:before="0"/>
        <w:rPr>
          <w:caps w:val="0"/>
          <w:noProof w:val="0"/>
          <w:color w:val="483733" w:themeColor="text2"/>
        </w:rPr>
      </w:pPr>
      <w:r>
        <w:rPr>
          <w:caps w:val="0"/>
          <w:color w:val="483733" w:themeColor="text2"/>
        </w:rPr>
        <w:t>Morgan Stanley Acquires $1 Billion Student Housing Portfolio</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2025-10-03</w:t>
      </w:r>
    </w:p>
    <w:p w14:paraId="636140DC" w14:textId="77777777" w:rsidR="001C65B2" w:rsidRDefault="001C65B2" w:rsidP="001C65B2">
      <w:pPr>
        <w:pStyle w:val="H3"/>
        <w:spacing w:before="0"/>
        <w:rPr>
          <w:caps w:val="0"/>
          <w:noProof w:val="0"/>
          <w:color w:val="483733" w:themeColor="text2"/>
        </w:rPr>
      </w:pPr>
      <w:r>
        <w:rPr>
          <w:caps w:val="0"/>
          <w:color w:val="483733" w:themeColor="text2"/>
        </w:rPr>
        <w:t>European-headquartered Global Investment Bank and a U.S. Based Global Commercial and Investment Bank Completes Upsize of Secured Billboard Variable Funding Notes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2025-09-30</w:t>
      </w:r>
    </w:p>
    <w:p w14:paraId="636140DC" w14:textId="77777777" w:rsidR="001C65B2" w:rsidRDefault="001C65B2" w:rsidP="001C65B2">
      <w:pPr>
        <w:pStyle w:val="H3"/>
        <w:spacing w:before="0"/>
        <w:rPr>
          <w:caps w:val="0"/>
          <w:noProof w:val="0"/>
          <w:color w:val="483733" w:themeColor="text2"/>
        </w:rPr>
      </w:pPr>
      <w:r>
        <w:rPr>
          <w:caps w:val="0"/>
          <w:color w:val="483733" w:themeColor="text2"/>
        </w:rPr>
        <w:t>U.S. Based Global Commercial and Financial Bank and European-Headquartered Global Investment Bank Complete the Sale and Purchase of Secured Media Asset-Backed Notes</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Exercising caution in relying on the ‘Obligors’ Agent’ construct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OCC Issues Interpretive Letter Permitting Banks to Engage in Additional Crypto Activities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2025-11-04</w:t>
      </w:r>
    </w:p>
    <w:p w14:paraId="38DC0FB2" w14:textId="77777777" w:rsidR="0046190E" w:rsidRDefault="0046190E" w:rsidP="0046190E">
      <w:pPr>
        <w:pStyle w:val="H3"/>
        <w:spacing w:before="0"/>
        <w:rPr>
          <w:caps w:val="0"/>
          <w:noProof w:val="0"/>
          <w:color w:val="483733" w:themeColor="text2"/>
        </w:rPr>
      </w:pPr>
      <w:r>
        <w:rPr>
          <w:caps w:val="0"/>
          <w:color w:val="483733" w:themeColor="text2"/>
        </w:rPr>
        <w:t>New York Commercial Division Rejects Claims Against Participating Noteholders in Uptiering Transaction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2025-12-08</w:t>
      </w:r>
    </w:p>
    <w:p w14:paraId="4BD15F45" w14:textId="77777777" w:rsidR="009816A0" w:rsidRDefault="009816A0" w:rsidP="009816A0">
      <w:pPr>
        <w:pStyle w:val="H3"/>
        <w:spacing w:before="0"/>
        <w:rPr>
          <w:caps w:val="0"/>
          <w:noProof w:val="0"/>
          <w:color w:val="483733" w:themeColor="text2"/>
        </w:rPr>
      </w:pPr>
      <w:r>
        <w:rPr>
          <w:caps w:val="0"/>
          <w:color w:val="483733" w:themeColor="text2"/>
        </w:rPr>
        <w:t>Dirk Lasater to Speak on Panel to Association of Corporate Counsel National Membership</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2025-11-20</w:t>
      </w:r>
    </w:p>
    <w:p w14:paraId="4BD15F45" w14:textId="77777777" w:rsidR="009816A0" w:rsidRDefault="009816A0" w:rsidP="009816A0">
      <w:pPr>
        <w:pStyle w:val="H3"/>
        <w:spacing w:before="0"/>
        <w:rPr>
          <w:caps w:val="0"/>
          <w:noProof w:val="0"/>
          <w:color w:val="483733" w:themeColor="text2"/>
        </w:rPr>
      </w:pPr>
      <w:r>
        <w:rPr>
          <w:caps w:val="0"/>
          <w:color w:val="483733" w:themeColor="text2"/>
        </w:rPr>
        <w:t>Thad Wilson to Speak at the Financial Poise’s upcoming webinar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2025-11-17</w:t>
      </w:r>
    </w:p>
    <w:p w14:paraId="4BD15F45" w14:textId="77777777" w:rsidR="009816A0" w:rsidRDefault="009816A0" w:rsidP="009816A0">
      <w:pPr>
        <w:pStyle w:val="H3"/>
        <w:spacing w:before="0"/>
        <w:rPr>
          <w:caps w:val="0"/>
          <w:noProof w:val="0"/>
          <w:color w:val="483733" w:themeColor="text2"/>
        </w:rPr>
      </w:pPr>
      <w:r>
        <w:rPr>
          <w:caps w:val="0"/>
          <w:color w:val="483733" w:themeColor="text2"/>
        </w:rPr>
        <w:t>Jennifer Morgan to Speak at the Commercial Observer</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2025-12-04</w:t>
      </w:r>
    </w:p>
    <w:p w14:paraId="5700260F" w14:textId="77777777" w:rsidR="00F21DCE" w:rsidRDefault="00F21DCE" w:rsidP="00F21DCE">
      <w:pPr>
        <w:pStyle w:val="H3"/>
        <w:spacing w:before="0"/>
        <w:rPr>
          <w:caps w:val="0"/>
          <w:noProof w:val="0"/>
          <w:color w:val="483733" w:themeColor="text2"/>
        </w:rPr>
      </w:pPr>
      <w:r>
        <w:rPr>
          <w:caps w:val="0"/>
          <w:color w:val="483733" w:themeColor="text2"/>
        </w:rPr>
        <w:t>Chambers Ranks King &amp; Spalding in its 2026 FinTech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07" TargetMode="External" Id="rId13"/><Relationship Type="http://schemas.openxmlformats.org/officeDocument/2006/relationships/hyperlink" Target="https://www.kslaw.com/news-and-insights?capability_id=107&amp;post_category_id=1&amp;post_type=0" TargetMode="External" Id="rId14"/><Relationship Type="http://schemas.openxmlformats.org/officeDocument/2006/relationships/hyperlink" Target="https://www.kslaw.com/news-and-insights?capability_id=107&amp;post_type=2" TargetMode="External" Id="rId15"/><Relationship Type="http://schemas.openxmlformats.org/officeDocument/2006/relationships/hyperlink" Target="https://www.kslaw.com/news-and-insights?capability_id=107&amp;post_type=1" TargetMode="External" Id="rId16"/><Relationship Type="http://schemas.openxmlformats.org/officeDocument/2006/relationships/hyperlink" Target="https://www.kslaw.com/news-and-insights?capability_id=107&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