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FDA and Life Sciences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Regulation has posed increased challenges for the life sciences industry. The emerging role of artificial intelligence and the ongoing change in political landscape continue to create uncertainty in the industry. Our highly regarded FDA and Life Sciences team strategically guides life sciences companies through the entire scope of the evolving framework of FDA and CMS.    We assist our clients on the entire spectrum of FDA-regulated products, including pharmaceuticals, biotech, devices, food, supplements, cosmetics, and tobacco, through all aspects of U.S. and EU regulatory compliance challenges. We draw from decades of industry experience to work through every issue at every stage of a product’s life cycle.</w:t>
      </w:r>
    </w:p>
    <w:p>
      <w:pPr>
        <w:pStyle w:val="Paragraph"/>
      </w:pPr>
      <w:r>
        <w:t xml:space="preserve">Manufacturers, investors, and other regulated entities value our practical advice and relationships with U.S. state, federal and EU regulatory bodies. The team’s 40+ lawyers and consultants have held senior positions in government, industry, academia and the medical profession. Through benchmarking from over 350 industry clients, our annual marquee conferences, and cutting-edge webinars and client alerts, our attorneys share and analyze key developments and practical insights on the most relevant and novel issues in the life sciences space.</w:t>
      </w:r>
    </w:p>
    <w:p>
      <w:pPr>
        <w:pStyle w:val="Paragraph"/>
      </w:pPr>
      <w:r>
        <w:t xml:space="preserve">Our regulatory attorneys draw on decades of experience to successfully guide clients through:</w:t>
      </w:r>
    </w:p>
    <w:tbl>
      <w:tr>
        <w:tc>
          <w:p>
            <w:pPr>
              <w:pStyle w:val="Paragraph"/>
            </w:pPr>
            <w:r>
              <w:t xml:space="preserve">
</w:t>
            </w:r>
          </w:p>
          <w:p>
            <w:pPr>
              <w:pStyle w:val="ListBullet"/>
              <w:numPr>
                <w:ilvl w:val="0"/>
                <w:numId w:val="21"/>
              </w:numPr>
            </w:pPr>
            <w:r>
              <w:t xml:space="preserve">•  Clinical trial matters, such as IDE and IND submissions and BIMO inspections</w:t>
            </w:r>
          </w:p>
          <w:p>
            <w:pPr>
              <w:pStyle w:val="Paragraph"/>
            </w:pPr>
            <w:r>
              <w:t xml:space="preserve">
</w:t>
            </w:r>
          </w:p>
        </w:tc>
        <w:tc>
          <w:p>
            <w:pPr>
              <w:pStyle w:val="Paragraph"/>
            </w:pPr>
            <w:r>
              <w:t xml:space="preserve">
</w:t>
            </w:r>
          </w:p>
          <w:p>
            <w:pPr>
              <w:pStyle w:val="ListBullet"/>
              <w:numPr>
                <w:ilvl w:val="0"/>
                <w:numId w:val="22"/>
              </w:numPr>
            </w:pPr>
            <w:r>
              <w:t xml:space="preserve">•  Government price reporting obligations and associated commercial and strategic implications</w:t>
            </w:r>
          </w:p>
          <w:p>
            <w:pPr>
              <w:pStyle w:val="Paragraph"/>
            </w:pPr>
            <w:r>
              <w:t xml:space="preserve">
</w:t>
            </w:r>
          </w:p>
        </w:tc>
      </w:tr>
      <w:tr>
        <w:tc>
          <w:p>
            <w:pPr>
              <w:pStyle w:val="Paragraph"/>
            </w:pPr>
            <w:r>
              <w:t xml:space="preserve">
</w:t>
            </w:r>
          </w:p>
          <w:p>
            <w:pPr>
              <w:pStyle w:val="ListBullet"/>
              <w:numPr>
                <w:ilvl w:val="0"/>
                <w:numId w:val="23"/>
              </w:numPr>
            </w:pPr>
            <w:r>
              <w:t xml:space="preserve">•  FDA approval process and premarket clearance</w:t>
            </w:r>
          </w:p>
          <w:p>
            <w:pPr>
              <w:pStyle w:val="Paragraph"/>
            </w:pPr>
            <w:r>
              <w:t xml:space="preserve">
</w:t>
            </w:r>
          </w:p>
        </w:tc>
        <w:tc>
          <w:p>
            <w:pPr>
              <w:pStyle w:val="Paragraph"/>
            </w:pPr>
            <w:r>
              <w:t xml:space="preserve">
</w:t>
            </w:r>
          </w:p>
          <w:p>
            <w:pPr>
              <w:pStyle w:val="ListBullet"/>
              <w:numPr>
                <w:ilvl w:val="0"/>
                <w:numId w:val="24"/>
              </w:numPr>
            </w:pPr>
            <w:r>
              <w:t xml:space="preserve">•  Reimbursement -- coverage, coding and payment</w:t>
            </w:r>
          </w:p>
          <w:p>
            <w:pPr>
              <w:pStyle w:val="Paragraph"/>
            </w:pPr>
            <w:r>
              <w:t xml:space="preserve">
</w:t>
            </w:r>
          </w:p>
        </w:tc>
      </w:tr>
      <w:tr>
        <w:tc>
          <w:p>
            <w:pPr>
              <w:pStyle w:val="Paragraph"/>
            </w:pPr>
            <w:r>
              <w:t xml:space="preserve">
</w:t>
            </w:r>
          </w:p>
          <w:p>
            <w:pPr>
              <w:pStyle w:val="ListBullet"/>
              <w:numPr>
                <w:ilvl w:val="0"/>
                <w:numId w:val="25"/>
              </w:numPr>
            </w:pPr>
            <w:r>
              <w:t xml:space="preserve">•  FDA requirements and policies applicable to pharma, device, cosmetic, and food labeling and promotion</w:t>
            </w:r>
          </w:p>
          <w:p>
            <w:pPr>
              <w:pStyle w:val="Paragraph"/>
            </w:pPr>
            <w:r>
              <w:t xml:space="preserve">
</w:t>
            </w:r>
          </w:p>
        </w:tc>
        <w:tc>
          <w:p>
            <w:pPr>
              <w:pStyle w:val="Paragraph"/>
            </w:pPr>
            <w:r>
              <w:t xml:space="preserve">
</w:t>
            </w:r>
          </w:p>
          <w:p>
            <w:pPr>
              <w:pStyle w:val="ListBullet"/>
              <w:numPr>
                <w:ilvl w:val="0"/>
                <w:numId w:val="26"/>
              </w:numPr>
            </w:pPr>
            <w:r>
              <w:t xml:space="preserve">•  Fraud and abuse compliance, including the FCA, AKS, FCPA, AdvaMed and PhRMA codes, and physician consultant arrangements,</w:t>
            </w:r>
          </w:p>
          <w:p>
            <w:pPr>
              <w:pStyle w:val="Paragraph"/>
            </w:pPr>
            <w:r>
              <w:t xml:space="preserve">
</w:t>
            </w:r>
          </w:p>
        </w:tc>
      </w:tr>
      <w:tr>
        <w:tc>
          <w:p>
            <w:pPr>
              <w:pStyle w:val="Paragraph"/>
            </w:pPr>
            <w:r>
              <w:t xml:space="preserve">
</w:t>
            </w:r>
          </w:p>
          <w:p>
            <w:pPr>
              <w:pStyle w:val="ListBullet"/>
              <w:numPr>
                <w:ilvl w:val="0"/>
                <w:numId w:val="27"/>
              </w:numPr>
            </w:pPr>
            <w:r>
              <w:t xml:space="preserve">•  FDA inspections, Warning Letters, and administrative litigation (appeals of adverse FDA decisions)</w:t>
            </w:r>
          </w:p>
          <w:p>
            <w:pPr>
              <w:pStyle w:val="Paragraph"/>
            </w:pPr>
            <w:r>
              <w:t xml:space="preserve">
</w:t>
            </w:r>
          </w:p>
        </w:tc>
        <w:tc>
          <w:p>
            <w:pPr>
              <w:pStyle w:val="Paragraph"/>
            </w:pPr>
            <w:r>
              <w:t xml:space="preserve">
</w:t>
            </w:r>
          </w:p>
          <w:p>
            <w:pPr>
              <w:pStyle w:val="ListBullet"/>
              <w:numPr>
                <w:ilvl w:val="0"/>
                <w:numId w:val="28"/>
              </w:numPr>
            </w:pPr>
            <w:r>
              <w:t xml:space="preserve">•  Federal Physician Payments Sunshine Act and similar state transparency laws</w:t>
            </w:r>
          </w:p>
          <w:p>
            <w:pPr>
              <w:pStyle w:val="Paragraph"/>
            </w:pPr>
            <w:r>
              <w:t xml:space="preserve">
</w:t>
            </w:r>
          </w:p>
        </w:tc>
      </w:tr>
      <w:tr>
        <w:tc>
          <w:p>
            <w:pPr>
              <w:pStyle w:val="Paragraph"/>
            </w:pPr>
            <w:r>
              <w:t xml:space="preserve">
</w:t>
            </w:r>
          </w:p>
          <w:p>
            <w:pPr>
              <w:pStyle w:val="ListBullet"/>
              <w:numPr>
                <w:ilvl w:val="0"/>
                <w:numId w:val="29"/>
              </w:numPr>
            </w:pPr>
            <w:r>
              <w:t xml:space="preserve">•  FDA administrative, civil, and criminal enforcement actions</w:t>
            </w:r>
          </w:p>
          <w:p>
            <w:pPr>
              <w:pStyle w:val="Paragraph"/>
            </w:pPr>
            <w:r>
              <w:t xml:space="preserve">
</w:t>
            </w:r>
          </w:p>
        </w:tc>
        <w:tc>
          <w:p>
            <w:pPr>
              <w:pStyle w:val="Paragraph"/>
            </w:pPr>
            <w:r>
              <w:t xml:space="preserve">
</w:t>
            </w:r>
          </w:p>
          <w:p>
            <w:pPr>
              <w:pStyle w:val="ListBullet"/>
              <w:numPr>
                <w:ilvl w:val="0"/>
                <w:numId w:val="30"/>
              </w:numPr>
            </w:pPr>
            <w:r>
              <w:t xml:space="preserve">•  Due diligence evaluations on behalf of life sciences companies, private equity funds, and venture capital firms</w:t>
            </w:r>
          </w:p>
          <w:p>
            <w:pPr>
              <w:pStyle w:val="Paragraph"/>
            </w:pPr>
            <w:r>
              <w:t xml:space="preserve">
</w:t>
            </w:r>
          </w:p>
        </w:tc>
      </w:tr>
      <w:tr>
        <w:tc>
          <w:p>
            <w:pPr>
              <w:pStyle w:val="Paragraph"/>
            </w:pPr>
            <w:r>
              <w:t xml:space="preserve">
</w:t>
            </w:r>
          </w:p>
          <w:p>
            <w:pPr>
              <w:pStyle w:val="ListBullet"/>
              <w:numPr>
                <w:ilvl w:val="0"/>
                <w:numId w:val="31"/>
              </w:numPr>
            </w:pPr>
            <w:r>
              <w:t xml:space="preserve">•  Investigations and all related interactions with FDA, CMS, OIG, and DOJ</w:t>
            </w:r>
          </w:p>
          <w:p>
            <w:pPr>
              <w:pStyle w:val="Paragraph"/>
            </w:pPr>
            <w:r>
              <w:t xml:space="preserve">
</w:t>
            </w:r>
          </w:p>
        </w:tc>
        <w:tc>
          <w:p>
            <w:pPr>
              <w:pStyle w:val="Paragraph"/>
            </w:pPr>
            <w:r>
              <w:t xml:space="preserve">
</w:t>
            </w:r>
          </w:p>
          <w:p>
            <w:pPr>
              <w:pStyle w:val="ListBullet"/>
              <w:numPr>
                <w:ilvl w:val="0"/>
                <w:numId w:val="32"/>
              </w:numPr>
            </w:pPr>
            <w:r>
              <w:t xml:space="preserve">•  Complex food regulatory matters and food false advertising litigation</w:t>
            </w:r>
          </w:p>
          <w:p>
            <w:pPr>
              <w:pStyle w:val="Paragraph"/>
            </w:pPr>
            <w:r>
              <w:t xml:space="preserve">
</w:t>
            </w:r>
          </w:p>
        </w:tc>
      </w:tr>
    </w:tbl>
    <w:p>
      <w:pPr>
        <w:pStyle w:val="Paragraph"/>
      </w:pPr>
      <w:r>
        <w:t xml:space="preserve">We are distinguished not only by our outstanding attorneys, but also by our industry consultants, including physicians and former senior FDA officials focused on quality and safety, good manufacturing practices, inspections and product approvals. Our consultants work under privileged legal supervision to provide companies with integrated medical and technical assessments and recommendations.</w:t>
      </w:r>
    </w:p>
    <w:p>
      <w:pPr>
        <w:pStyle w:val="Paragraph"/>
      </w:pPr>
      <w:r>
        <w:t xml:space="preserve">Our team in the EU focuses on EU and national (French, Belgian and German) issues associated with the legal requirements of the pharmaceutical, biologic, medical device, cosmetic and food industries. They advise life sciences clients on successful strategies for addressing significant EU policy developments and the EU regulatory regimes. The EU team represents our clients in litigation cases before German and European courts, including the General Court and the Court of Justice of the European Union, and in investigations.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Jeffrey K. Shapiro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Keri Borders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Geneviève Michaux</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Brussels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Lisa M. Dwyer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Nikki Reeves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Jessica Ringel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for FDA: Medical Device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for FDA: Pharmaceutical</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2024 FDA Litigation &amp; Enforcement Firm of the Year</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2025-03-31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Victory for The American Clinical Laboratory Association Challenging a Final Rule Issued by the FDA</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2016-07-20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Jounce Therapeutics on Deal Worth Up to $2.5 Billion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2016-03-24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Represents GSK on Strategic Collaboration with Miltenyi Biotec</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2025-12-09</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Legal 500 Country Comparative Guides: United States Pharmaceutical Advertising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Health Headlines – November 24,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2025-11-20</w:t>
      </w:r>
    </w:p>
    <w:p w14:paraId="38DC0FB2" w14:textId="77777777" w:rsidR="0046190E" w:rsidRDefault="0046190E" w:rsidP="0046190E">
      <w:pPr>
        <w:pStyle w:val="H3"/>
        <w:spacing w:before="0"/>
        <w:rPr>
          <w:caps w:val="0"/>
          <w:noProof w:val="0"/>
          <w:color w:val="483733" w:themeColor="text2"/>
        </w:rPr>
      </w:pPr>
      <w:r>
        <w:rPr>
          <w:caps w:val="0"/>
          <w:color w:val="483733" w:themeColor="text2"/>
        </w:rPr>
        <w:t>FDA Leaders Propose New “Plausible Mechanism Pathway” for Development and Approval of Drugs and Biologics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2025-12-18</w:t>
      </w:r>
    </w:p>
    <w:p w14:paraId="4BD15F45" w14:textId="77777777" w:rsidR="009816A0" w:rsidRDefault="009816A0" w:rsidP="009816A0">
      <w:pPr>
        <w:pStyle w:val="H3"/>
        <w:spacing w:before="0"/>
        <w:rPr>
          <w:caps w:val="0"/>
          <w:noProof w:val="0"/>
          <w:color w:val="483733" w:themeColor="text2"/>
        </w:rPr>
      </w:pPr>
      <w:r>
        <w:rPr>
          <w:caps w:val="0"/>
          <w:color w:val="483733" w:themeColor="text2"/>
        </w:rPr>
        <w:t>Drug Compounding Litigation Review: Cases by Drug Compounders vs. FDA and Private Enforcement Cases</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2025-12-17</w:t>
      </w:r>
    </w:p>
    <w:p w14:paraId="4BD15F45" w14:textId="77777777" w:rsidR="009816A0" w:rsidRDefault="009816A0" w:rsidP="009816A0">
      <w:pPr>
        <w:pStyle w:val="H3"/>
        <w:spacing w:before="0"/>
        <w:rPr>
          <w:caps w:val="0"/>
          <w:noProof w:val="0"/>
          <w:color w:val="483733" w:themeColor="text2"/>
        </w:rPr>
      </w:pPr>
      <w:r>
        <w:rPr>
          <w:caps w:val="0"/>
          <w:color w:val="483733" w:themeColor="text2"/>
        </w:rPr>
        <w:t>What Healthcare Providers That Sponsor ERISA Plans Need To Know for 2026</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Ulf Grundmann to Speak at Frankfurt School of Finance and Management’s International Healthcare Management MBA program</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Lauren Roth comments on the Food and Drug Administration’s uptick of pilot programs launched this year</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2025-11-18</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Spalding’s German Banking &amp; Finance Team and Partner Ulf Grundmann Named as Finalists for 2026 Legal 500 Germany Awards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2025-11-04</w:t>
      </w:r>
    </w:p>
    <w:p w14:paraId="5700260F" w14:textId="77777777" w:rsidR="00F21DCE" w:rsidRDefault="00F21DCE" w:rsidP="00F21DCE">
      <w:pPr>
        <w:pStyle w:val="H3"/>
        <w:spacing w:before="0"/>
        <w:rPr>
          <w:caps w:val="0"/>
          <w:noProof w:val="0"/>
          <w:color w:val="483733" w:themeColor="text2"/>
        </w:rPr>
      </w:pPr>
      <w:r>
        <w:rPr>
          <w:caps w:val="0"/>
          <w:color w:val="483733" w:themeColor="text2"/>
        </w:rPr>
        <w:t>David Farber explains why the expansion of telehealth has driven the increase in compounding in recent years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1" TargetMode="External" Id="rId13"/><Relationship Type="http://schemas.openxmlformats.org/officeDocument/2006/relationships/hyperlink" Target="https://www.kslaw.com/news-and-insights?capability_id=21&amp;post_category_id=1&amp;post_type=0" TargetMode="External" Id="rId14"/><Relationship Type="http://schemas.openxmlformats.org/officeDocument/2006/relationships/hyperlink" Target="https://www.kslaw.com/news-and-insights?capability_id=21&amp;post_type=2" TargetMode="External" Id="rId15"/><Relationship Type="http://schemas.openxmlformats.org/officeDocument/2006/relationships/hyperlink" Target="https://www.kslaw.com/news-and-insights?capability_id=21&amp;post_type=1" TargetMode="External" Id="rId16"/><Relationship Type="http://schemas.openxmlformats.org/officeDocument/2006/relationships/hyperlink" Target="https://www.kslaw.com/news-and-insights?capability_id=2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