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Energy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With more than 350 dedicated energy lawyers located in the world’s primary energy centers, King &amp; Spalding delivers clients a combination of deep sector knowledge and commercially focused guidance. We help clients enter new markets, advance innovative projects and transactions, navigate challenging regulatory environments and successfully resolving high-stakes disputes. Structured as a borderless, fully integrated global team, we ensure clients have real-time access to cutting-edge global insights and the most qualified industry professionals, regardless of location. Our integrated energy policy and regulatory team further enhances client outcomes by aligning commercial objectives with the constantly shifting legal landscape in real-time that characterizes modern energy markets. Spanning the full breadth of the energy industry—from oil and gas, power, hydrogen and low carbon, nuclear, and metals and mining—our team combines deep sector specialization with cross-disciplinary insight to help clients lead across the entire spectrum of energy innovation and operations. </w:t>
      </w:r>
    </w:p>
    <w:p>
      <w:pPr>
        <w:pStyle w:val="Paragraph"/>
      </w:pPr>
      <w:r>
        <w:rPr>
          <w:b/>
        </w:rPr>
        <w:t xml:space="preserve">Oil &amp; Gas</w:t>
      </w:r>
    </w:p>
    <w:p>
      <w:pPr>
        <w:pStyle w:val="Paragraph"/>
      </w:pPr>
      <w:r>
        <w:t xml:space="preserve">Our oil and gas clients turn to us for our knowledge of the commercial complexities of the industry and experience at every stage of the value chain. Our oil and gas team is trusted for its deep understanding of the industry’s commercial complexities across its full lifecycle—from upstream and midstream to LNG, downstream, and petrochemicals. The team is also expert at navigating the policy and regulatory environment increasingly impacting oil and gas businesses, including methane leakage reporting, decommissioning liabilities and quotas for the use of lower-carbon fuels in various sectors. Our clients include the world’s major oil and gas companies, large and small independents, refiners and petrochemical companies, international service and equipment companies, project contractors and sponsors, and financial institutions – many of which have been turning to our team for decades.</w:t>
      </w:r>
    </w:p>
    <w:p>
      <w:pPr>
        <w:pStyle w:val="Paragraph"/>
      </w:pPr>
      <w:r>
        <w:rPr>
          <w:b/>
        </w:rPr>
        <w:t xml:space="preserve">Power</w:t>
      </w:r>
    </w:p>
    <w:p>
      <w:pPr>
        <w:pStyle w:val="Paragraph"/>
      </w:pPr>
      <w:r>
        <w:t xml:space="preserve">King &amp; Spalding’s power team delivers end-to-end legal support across the full lifecycle of energy projects—from development and financing to operation and optimization, as well as dispute resolution. With deep experience in both conventional and renewable power, we advise on complex transactions, regulatory compliance, environmental permitting, and commercial agreements. Our lawyers are recognized for their technical fluency and commercial insight, helping clients structure bankable deals and navigate evolving market dynamics.</w:t>
      </w:r>
    </w:p>
    <w:p>
      <w:pPr>
        <w:pStyle w:val="Paragraph"/>
      </w:pPr>
      <w:r>
        <w:t xml:space="preserve">We are among the most active firms globally in power M&amp;A, joint ventures, and project finance, and our team—ranked among the best in the world—brings unmatched expertise in mitigating risk and resolving disputes.</w:t>
      </w:r>
    </w:p>
    <w:p>
      <w:pPr>
        <w:pStyle w:val="Paragraph"/>
      </w:pPr>
      <w:r>
        <w:t xml:space="preserve">We are also a market leader in data center and AI power solutions, advising hyperscale operators, developers, and investors on behind-the-meter generation, fuel cell supply, and multi-gigawatt renewable procurement.</w:t>
      </w:r>
    </w:p>
    <w:p>
      <w:pPr>
        <w:pStyle w:val="Paragraph"/>
      </w:pPr>
      <w:r>
        <w:t xml:space="preserve">Whether supporting large-scale assets or distributed infrastructure, our integrated approach ensures seamless, strategic counsel across jurisdictions and technologies.</w:t>
      </w:r>
    </w:p>
    <w:p>
      <w:pPr>
        <w:pStyle w:val="Paragraph"/>
      </w:pPr>
      <w:r>
        <w:rPr>
          <w:b/>
        </w:rPr>
        <w:t xml:space="preserve">Hydrogen &amp; Low Carbon </w:t>
      </w:r>
    </w:p>
    <w:p>
      <w:pPr>
        <w:pStyle w:val="Paragraph"/>
      </w:pPr>
      <w:r>
        <w:t xml:space="preserve">Our energy lawyers are at the forefront of the clean hydrogen sector as the clean-burning molecule assumes a greater role in the global energy landscape—as an emissions-free fuel and feedstock, a versatile energy storage solution, and a key enabler of renewable power generation. Advising clients across the full hydrogen value chain, we provide strategic counsel that drives innovation and accelerates deployment.</w:t>
      </w:r>
    </w:p>
    <w:p>
      <w:pPr>
        <w:pStyle w:val="Paragraph"/>
      </w:pPr>
      <w:r>
        <w:t xml:space="preserve">With deep experience across more than 150 green and low-carbon hydrogen projects worldwide—including landmark initiatives in North America, Latin America, Europe, the Middle East, Africa and Asia-Pacific—we help clients navigate complex regulatory frameworks, structure bankable offtake agreements, and unlock new markets. Our global team combines technical fluency with commercial insight to deliver solutions that are both visionary and executable.</w:t>
      </w:r>
    </w:p>
    <w:p>
      <w:pPr>
        <w:pStyle w:val="Paragraph"/>
      </w:pPr>
      <w:r>
        <w:rPr>
          <w:b/>
        </w:rPr>
        <w:t xml:space="preserve">Nuclear </w:t>
      </w:r>
    </w:p>
    <w:p>
      <w:pPr>
        <w:pStyle w:val="Paragraph"/>
      </w:pPr>
      <w:r>
        <w:t xml:space="preserve">We provide comprehensive legal support across the nuclear energy spectrum—from large nuclear power plants (LNPPs) to cutting-edge small modular reactors (SMRs). Our team has advised national governments, state-owned enterprises, and private developers on the procurement, financing, construction, and operation of nuclear facilities worldwide.</w:t>
      </w:r>
    </w:p>
    <w:p>
      <w:pPr>
        <w:pStyle w:val="Paragraph"/>
      </w:pPr>
      <w:r>
        <w:t xml:space="preserve">For large nuclear power plants, we are recognized for our leadership in competitive and bilateral procurement programs. We’ve developed market-tested strategies and near procurement-ready templates for Engineering, Procurement, and Construction (EPC) contracts, power purchase agreements, and regulatory frameworks, helping clients mitigate risks such as cost overruns and delays.</w:t>
      </w:r>
    </w:p>
    <w:p>
      <w:pPr>
        <w:pStyle w:val="Paragraph"/>
      </w:pPr>
      <w:r>
        <w:t xml:space="preserve">For SMRs, we’ve supported U.S. developers and global vendors on joint ventures, equipment supply agreements, and export control compliance.</w:t>
      </w:r>
    </w:p>
    <w:p>
      <w:pPr>
        <w:pStyle w:val="Paragraph"/>
      </w:pPr>
      <w:r>
        <w:rPr>
          <w:b/>
        </w:rPr>
        <w:t xml:space="preserve">Metals &amp; Mining </w:t>
      </w:r>
    </w:p>
    <w:p>
      <w:pPr>
        <w:pStyle w:val="Paragraph"/>
      </w:pPr>
      <w:r>
        <w:t xml:space="preserve">King &amp; Spalding’s Metals and Mining practice is a multidisciplinary legal powerhouse, offering strategic counsel across every stage of mining and metals projects. With a particular focus on critical minerals, the firm supports clients navigating the complex legal, regulatory, and geopolitical landscape that defines the global mining sector today. Our team brings together deep industry knowledge with cross-border legal capabilities, advising on everything from project development and financing to high-stakes disputes and regulatory compliance.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Tracie J. Renfroe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Stuart R. Zisman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Houston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Savage, K.C.</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Paris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Dan Feldman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Abu Dhabi</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Construction Practice Group of the Year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Law360: 2022, 2021, 2020, 2018</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Energy Advisory Firm of the Year: Legal</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Petroleum Economist, 2014 and 2016</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1 for Global-wide Project &amp; Energy: Oil &amp; Gas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2020</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Historic $221 Million Award for Chevron in Long-Running Chevron v. Ecuador Investment Treaty Arbitration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2025-12-10</w:t>
      </w:r>
    </w:p>
    <w:p w14:paraId="636140DC" w14:textId="77777777" w:rsidR="001C65B2" w:rsidRDefault="001C65B2" w:rsidP="001C65B2">
      <w:pPr>
        <w:pStyle w:val="H3"/>
        <w:spacing w:before="0"/>
        <w:rPr>
          <w:caps w:val="0"/>
          <w:noProof w:val="0"/>
          <w:color w:val="483733" w:themeColor="text2"/>
        </w:rPr>
      </w:pPr>
      <w:r>
        <w:rPr>
          <w:caps w:val="0"/>
          <w:color w:val="483733" w:themeColor="text2"/>
        </w:rPr>
        <w:t>Natura Resources Acquires Shepherd Power from NOV Inc. (NYSE: NOV)</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2025-12-04</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Advises on Major Energy Assets Acquisition and Landmark Clean Energy and Aluminium Decarbonisation Agreements in Abu Dhabi</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Outlook and Opportunities in GCC Projects into 2026 and Beyond</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2025-12-09</w:t>
      </w:r>
    </w:p>
    <w:p w14:paraId="4BD15F45" w14:textId="77777777" w:rsidR="009816A0" w:rsidRDefault="009816A0" w:rsidP="009816A0">
      <w:pPr>
        <w:pStyle w:val="H3"/>
        <w:spacing w:before="0"/>
        <w:rPr>
          <w:caps w:val="0"/>
          <w:noProof w:val="0"/>
          <w:color w:val="483733" w:themeColor="text2"/>
        </w:rPr>
      </w:pPr>
      <w:r>
        <w:rPr>
          <w:caps w:val="0"/>
          <w:color w:val="483733" w:themeColor="text2"/>
        </w:rPr>
        <w:t>David Ridenour to Speak at Reuters Energy LIVE Conference 2025</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2025-12-04</w:t>
      </w:r>
    </w:p>
    <w:p w14:paraId="4BD15F45" w14:textId="77777777" w:rsidR="009816A0" w:rsidRDefault="009816A0" w:rsidP="009816A0">
      <w:pPr>
        <w:pStyle w:val="H3"/>
        <w:spacing w:before="0"/>
        <w:rPr>
          <w:caps w:val="0"/>
          <w:noProof w:val="0"/>
          <w:color w:val="483733" w:themeColor="text2"/>
        </w:rPr>
      </w:pPr>
      <w:r>
        <w:rPr>
          <w:caps w:val="0"/>
          <w:color w:val="483733" w:themeColor="text2"/>
        </w:rPr>
        <w:t>Jan Schaefer and Shouvik Bhattacharya to Speak at the New York Arbitration Week</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2025-11-06</w:t>
      </w:r>
    </w:p>
    <w:p w14:paraId="4BD15F45" w14:textId="77777777" w:rsidR="009816A0" w:rsidRDefault="009816A0" w:rsidP="009816A0">
      <w:pPr>
        <w:pStyle w:val="H3"/>
        <w:spacing w:before="0"/>
        <w:rPr>
          <w:caps w:val="0"/>
          <w:noProof w:val="0"/>
          <w:color w:val="483733" w:themeColor="text2"/>
        </w:rPr>
      </w:pPr>
      <w:r>
        <w:rPr>
          <w:caps w:val="0"/>
          <w:color w:val="483733" w:themeColor="text2"/>
        </w:rPr>
        <w:t>Andrew Brereton to Speak at the "Empowering GPs and LPs with Financing Solutions" panel</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2025-12-08</w:t>
      </w:r>
    </w:p>
    <w:p w14:paraId="5700260F" w14:textId="77777777" w:rsidR="00F21DCE" w:rsidRDefault="00F21DCE" w:rsidP="00F21DCE">
      <w:pPr>
        <w:pStyle w:val="H3"/>
        <w:spacing w:before="0"/>
        <w:rPr>
          <w:caps w:val="0"/>
          <w:noProof w:val="0"/>
          <w:color w:val="483733" w:themeColor="text2"/>
        </w:rPr>
      </w:pPr>
      <w:r>
        <w:rPr>
          <w:caps w:val="0"/>
          <w:color w:val="483733" w:themeColor="text2"/>
        </w:rPr>
        <w:t>Law360 profiles Energy MVP Dan Feldman</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2025-12-04</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counsels Abu Dhabi National Energy Company PJSC and Dubal Holding</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2025-11-21</w:t>
      </w:r>
    </w:p>
    <w:p w14:paraId="5700260F" w14:textId="77777777" w:rsidR="00F21DCE" w:rsidRDefault="00F21DCE" w:rsidP="00F21DCE">
      <w:pPr>
        <w:pStyle w:val="H3"/>
        <w:spacing w:before="0"/>
        <w:rPr>
          <w:caps w:val="0"/>
          <w:noProof w:val="0"/>
          <w:color w:val="483733" w:themeColor="text2"/>
        </w:rPr>
      </w:pPr>
      <w:r>
        <w:rPr>
          <w:caps w:val="0"/>
          <w:color w:val="483733" w:themeColor="text2"/>
        </w:rPr>
        <w:t>Tom Childs counsels Foresight Fund Managers in an arbitral enforcement award dispute against Spain</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02" TargetMode="External" Id="rId13"/><Relationship Type="http://schemas.openxmlformats.org/officeDocument/2006/relationships/hyperlink" Target="https://www.kslaw.com/news-and-insights?capability_id=102&amp;post_category_id=1&amp;post_type=0" TargetMode="External" Id="rId14"/><Relationship Type="http://schemas.openxmlformats.org/officeDocument/2006/relationships/hyperlink" Target="https://www.kslaw.com/news-and-insights?capability_id=102&amp;post_type=2" TargetMode="External" Id="rId15"/><Relationship Type="http://schemas.openxmlformats.org/officeDocument/2006/relationships/hyperlink" Target="https://www.kslaw.com/news-and-insights?capability_id=102&amp;post_type=1" TargetMode="External" Id="rId16"/><Relationship Type="http://schemas.openxmlformats.org/officeDocument/2006/relationships/hyperlink" Target="https://www.kslaw.com/news-and-insights?capability_id=102&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