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Energy Transition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As the global energy industry advances a lower carbon world, King &amp; Spalding is empowering the transition. From the established energy majors that have been the cornerstones of this industry for over a century to more recent market entrants commercializing new technologies, we guide clients throughout the energy value chain on the matters driving innovation in the energy sector.</w:t>
      </w:r>
    </w:p>
    <w:p>
      <w:pPr>
        <w:pStyle w:val="Paragraph"/>
      </w:pPr>
      <w:r>
        <w:t xml:space="preserve">We provide the transactional, regulatory, policy, tax and trade guidance clients need to execute first-of-their-kind and largest-of-their-kind projects that are breaking new ground in the industry, including those involving carbon capture processes; hydrogen and its derivatives; low-carbon fuels; renewable energy and battery storage; nuclear; green metals; and others. When disputes arise in relation to low-carbon projects – and for clients facing challenges related to their carbon-emitting activities – our top-ranked dispute resolution team devises and executes litigation strategies to protect the commercial viability of their projects and businesses.</w:t>
      </w:r>
    </w:p>
    <w:p>
      <w:pPr>
        <w:pStyle w:val="Paragraph"/>
      </w:pPr>
      <w:r>
        <w:t xml:space="preserve">Our integrated global team has been on the leading edge of the industry’s most significant recent developments, many of which are the first or largest of their kind, including:</w:t>
      </w:r>
    </w:p>
    <w:p>
      <w:pPr>
        <w:pStyle w:val="ListBullet"/>
        <w:numPr>
          <w:ilvl w:val="0"/>
          <w:numId w:val="21"/>
        </w:numPr>
      </w:pPr>
      <w:r>
        <w:t xml:space="preserve">•  the world’s first commercial-scale direct air carbon capture facility;</w:t>
      </w:r>
    </w:p>
    <w:p>
      <w:pPr>
        <w:pStyle w:val="ListBullet"/>
        <w:numPr>
          <w:ilvl w:val="0"/>
          <w:numId w:val="21"/>
        </w:numPr>
      </w:pPr>
      <w:r>
        <w:t xml:space="preserve">•  the world’s first green hydrogen and green ammonia megaproject, and the most advanced green hydrogen megaprojects on four continents;</w:t>
      </w:r>
    </w:p>
    <w:p>
      <w:pPr>
        <w:pStyle w:val="ListBullet"/>
        <w:numPr>
          <w:ilvl w:val="0"/>
          <w:numId w:val="21"/>
        </w:numPr>
      </w:pPr>
      <w:r>
        <w:t xml:space="preserve">•  the world’s first e-NG and synthetic methane projects;</w:t>
      </w:r>
    </w:p>
    <w:p>
      <w:pPr>
        <w:pStyle w:val="ListBullet"/>
        <w:numPr>
          <w:ilvl w:val="0"/>
          <w:numId w:val="21"/>
        </w:numPr>
      </w:pPr>
      <w:r>
        <w:t xml:space="preserve">•  the world’s first city built 100% on renewable energy; and</w:t>
      </w:r>
    </w:p>
    <w:p>
      <w:pPr>
        <w:pStyle w:val="ListBullet"/>
        <w:numPr>
          <w:ilvl w:val="0"/>
          <w:numId w:val="21"/>
        </w:numPr>
      </w:pPr>
      <w:r>
        <w:t xml:space="preserve">•  a first-of-its-kind lithium extraction project, among others.</w:t>
      </w:r>
    </w:p>
    <w:p>
      <w:pPr>
        <w:pStyle w:val="Paragraph"/>
      </w:pPr>
      <w:r>
        <w:t xml:space="preserve">International energy companies, manufacturers, conglomerates, developers, investors, capital providers, utilities and governments turn to us to help advance their low-carbon and sustainability objectives because of the strong combination of capabilities and resources we bring together:</w:t>
      </w:r>
    </w:p>
    <w:p>
      <w:pPr>
        <w:pStyle w:val="Paragraph"/>
      </w:pPr>
      <w:r>
        <w:rPr>
          <w:b/>
        </w:rPr>
        <w:t xml:space="preserve">Extensive transactional and project development experience worldwide</w:t>
      </w:r>
      <w:r>
        <w:t xml:space="preserve">, including acquisition and project finance, project development, construction, investments and joint ventures, private equity and M&amp;A, restructuring, supply and off-take agreements, and technology transactions.</w:t>
      </w:r>
    </w:p>
    <w:p>
      <w:pPr>
        <w:pStyle w:val="Paragraph"/>
      </w:pPr>
      <w:r>
        <w:rPr>
          <w:b/>
        </w:rPr>
        <w:t xml:space="preserve">Skilled advice navigating global regulatory frameworks and government incentive programs,</w:t>
      </w:r>
      <w:r>
        <w:t xml:space="preserve"> including international regulatory structuring for low carbon projects and transactions, carbon credit advice, DOE loan advice, environmental health and safety, the Inflation Reduction Act, federal tax equity investments, and government incentive programs globally.</w:t>
      </w:r>
    </w:p>
    <w:p>
      <w:pPr>
        <w:pStyle w:val="Paragraph"/>
      </w:pPr>
      <w:r>
        <w:rPr>
          <w:b/>
        </w:rPr>
        <w:t xml:space="preserve">Top-ranked global disputes capabilities across a wide range of disputes</w:t>
      </w:r>
      <w:r>
        <w:t xml:space="preserve">, including investment treaty arbitrations, construction disputes, commercial disputes, climate change, and environmental litigation.</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Tracie J. Renfroe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Scott A. Greer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Ruth M.D. Byrne, K.C.</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Stuart R. Zisman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James F. Bowe, Jr. (Jim)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Brandon Dalling</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Construction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 2022, 2021, 2020, 2018</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Renewable Deal of the Year 2019 for 400MW Dumat Al Jamdal Onshore Wind IPP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Project Finance International, 2019</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Natura Resources Acquires Shepherd Power from NOV Inc. (NYSE: NOV)</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on Major Energy Assets Acquisition and Landmark Clean Energy and Aluminium Decarbonisation Agreements in Abu Dhabi</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OMV and Masdar Sign Agreement to Develop and Operate New 140MW Green Hydrogen Plant In Austria</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Outlook and Opportunities in GCC Projects into 2026 and Beyond</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2025-11-26</w:t>
      </w:r>
    </w:p>
    <w:p w14:paraId="38DC0FB2" w14:textId="77777777" w:rsidR="0046190E" w:rsidRDefault="0046190E" w:rsidP="0046190E">
      <w:pPr>
        <w:pStyle w:val="H3"/>
        <w:spacing w:before="0"/>
        <w:rPr>
          <w:caps w:val="0"/>
          <w:noProof w:val="0"/>
          <w:color w:val="483733" w:themeColor="text2"/>
        </w:rPr>
      </w:pPr>
      <w:r>
        <w:rPr>
          <w:caps w:val="0"/>
          <w:color w:val="483733" w:themeColor="text2"/>
        </w:rPr>
        <w:t>Impacts of Postponed IMO Vote on Global Carbon Pricing Rules on Shipping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2025-09-22</w:t>
      </w:r>
    </w:p>
    <w:p w14:paraId="38DC0FB2" w14:textId="77777777" w:rsidR="0046190E" w:rsidRDefault="0046190E" w:rsidP="0046190E">
      <w:pPr>
        <w:pStyle w:val="H3"/>
        <w:spacing w:before="0"/>
        <w:rPr>
          <w:caps w:val="0"/>
          <w:noProof w:val="0"/>
          <w:color w:val="483733" w:themeColor="text2"/>
        </w:rPr>
      </w:pPr>
      <w:r>
        <w:rPr>
          <w:caps w:val="0"/>
          <w:color w:val="483733" w:themeColor="text2"/>
        </w:rPr>
        <w:t>Australia's Net Zero Plan - Key Takeaways for the Energy Industry</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2025-12-09</w:t>
      </w:r>
    </w:p>
    <w:p w14:paraId="4BD15F45" w14:textId="77777777" w:rsidR="009816A0" w:rsidRDefault="009816A0" w:rsidP="009816A0">
      <w:pPr>
        <w:pStyle w:val="H3"/>
        <w:spacing w:before="0"/>
        <w:rPr>
          <w:caps w:val="0"/>
          <w:noProof w:val="0"/>
          <w:color w:val="483733" w:themeColor="text2"/>
        </w:rPr>
      </w:pPr>
      <w:r>
        <w:rPr>
          <w:caps w:val="0"/>
          <w:color w:val="483733" w:themeColor="text2"/>
        </w:rPr>
        <w:t>David Ridenour to Speak at Reuters Energy LIVE Conference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2025-10-30</w:t>
      </w:r>
    </w:p>
    <w:p w14:paraId="4BD15F45" w14:textId="77777777" w:rsidR="009816A0" w:rsidRDefault="009816A0" w:rsidP="009816A0">
      <w:pPr>
        <w:pStyle w:val="H3"/>
        <w:spacing w:before="0"/>
        <w:rPr>
          <w:caps w:val="0"/>
          <w:noProof w:val="0"/>
          <w:color w:val="483733" w:themeColor="text2"/>
        </w:rPr>
      </w:pPr>
      <w:r>
        <w:rPr>
          <w:caps w:val="0"/>
          <w:color w:val="483733" w:themeColor="text2"/>
        </w:rPr>
        <w:t>Karl Heisler to Speak at the Environmental Law Institute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2025-10-01</w:t>
      </w:r>
    </w:p>
    <w:p w14:paraId="4BD15F45" w14:textId="77777777" w:rsidR="009816A0" w:rsidRDefault="009816A0" w:rsidP="009816A0">
      <w:pPr>
        <w:pStyle w:val="H3"/>
        <w:spacing w:before="0"/>
        <w:rPr>
          <w:caps w:val="0"/>
          <w:noProof w:val="0"/>
          <w:color w:val="483733" w:themeColor="text2"/>
        </w:rPr>
      </w:pPr>
      <w:r>
        <w:rPr>
          <w:caps w:val="0"/>
          <w:color w:val="483733" w:themeColor="text2"/>
        </w:rPr>
        <w:t>Scott Greer, Terra Cothran and Stuart Zisman to Speak at Chair the 2nd Institute for Energy Law (IEL) Energy Project Development Conference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counsels Abu Dhabi National Energy Company PJSC and Dubal Holding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Childs counsels Foresight Fund Managers in an arbitral enforcement award dispute against Spain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2025-10-24</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Childs and Camilla Akbari counsel Foresight Fund Managers in an arbitral enforcement award dispute against Spain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31" TargetMode="External" Id="rId13"/><Relationship Type="http://schemas.openxmlformats.org/officeDocument/2006/relationships/hyperlink" Target="https://www.kslaw.com/news-and-insights?capability_id=131&amp;post_category_id=1&amp;post_type=0" TargetMode="External" Id="rId14"/><Relationship Type="http://schemas.openxmlformats.org/officeDocument/2006/relationships/hyperlink" Target="https://www.kslaw.com/news-and-insights?capability_id=131&amp;post_type=2" TargetMode="External" Id="rId15"/><Relationship Type="http://schemas.openxmlformats.org/officeDocument/2006/relationships/hyperlink" Target="https://www.kslaw.com/news-and-insights?capability_id=131&amp;post_type=1" TargetMode="External" Id="rId16"/><Relationship Type="http://schemas.openxmlformats.org/officeDocument/2006/relationships/hyperlink" Target="https://www.kslaw.com/news-and-insights?capability_id=13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