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Energy and Infrastructure Projects</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King &amp; Spalding’s energy and infrastructure projects practice includes over 100 lawyers worldwide who specialize in advising clients on world class projects in a range of sectors, including oil and gas, LNG, power, renewable energy, mining, petrochemical, ports and terminals, real estate and social infrastructure.</w:t>
      </w:r>
    </w:p>
    <w:p>
      <w:pPr>
        <w:pStyle w:val="Paragraph"/>
      </w:pPr>
      <w:r>
        <w:t xml:space="preserve">Our global experience throughout the project value chain gives us an in-depth understanding of the complex interplay among project agreements and how those agreements affect key milestones like development, financing, construction and commercial operations. </w:t>
      </w:r>
    </w:p>
    <w:p>
      <w:pPr>
        <w:pStyle w:val="Paragraph"/>
      </w:pPr>
      <w:r>
        <w:t xml:space="preserve">Clients count on our team to counsel them on the technical, commercial and geopolitical challenges unique to their projects.  We have deep experience negotiating the full range of project development and financing contracts, in a variety of languages, across North America, Latin America, the Caribbean, Europe, the Middle East, Asia and Africa. </w:t>
      </w:r>
    </w:p>
    <w:p>
      <w:pPr>
        <w:pStyle w:val="Paragraph"/>
      </w:pPr>
      <w:r>
        <w:t xml:space="preserve">Many of the firm’s attorneys worked as in-house project counsel or engineers at world-class companies and investment banks prior to joining King &amp; Spalding. Our diverse and specialized experience also includes midstream oil and gas assets (gathering and processing, storage, transport), hydro power, district energy, underground storage, upstream oil and gas, maritime transportation, mining and refining/petrochemicals.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David G. Runnels</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Houston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Michael Malone (Kelly)</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London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Scott A. Greer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Houston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John McClenahan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Singapore</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James F. Bowe, Jr. (Jim)</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Stuart R. Zisman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Houston</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Named Best U.S. Law Firm for Project Finance, Infrastructure &amp; Energy</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2017 International Legal Alliance Summit &amp; Awards </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Named Energy Advisory Firm of the Year: Legal in both 2014 and 2016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Petroleum Economist</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Selected as Energy Practice Group of the Year in 2014 and 2015</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Law360</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2025-12-04</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on Major Energy Assets Acquisition and Landmark Clean Energy and Aluminium Decarbonisation Agreements in Abu Dhabi</w:t>
      </w:r>
    </w:p>
    <w:p w14:paraId="250213DC" w14:textId="77777777" w:rsidR="001C65B2" w:rsidRDefault="001C65B2" w:rsidP="001C65B2">
      <w:pPr>
        <w:pStyle w:val="H3"/>
        <w:spacing w:before="0"/>
        <w:rPr>
          <w:caps w:val="0"/>
          <w:noProof w:val="0"/>
          <w:color w:val="483733" w:themeColor="text2"/>
        </w:rPr>
      </w:pPr>
    </w:p>
    <w:p w14:paraId="636140DC" w14:textId="77777777" w:rsidR="001C65B2" w:rsidRDefault="001C65B2" w:rsidP="001C65B2">
      <w:pPr>
        <w:pStyle w:val="H3"/>
        <w:spacing w:before="0"/>
        <w:rPr>
          <w:caps w:val="0"/>
          <w:noProof w:val="0"/>
          <w:color w:val="483733" w:themeColor="text2"/>
        </w:rPr>
      </w:pPr>
      <w:r>
        <w:rPr>
          <w:caps w:val="0"/>
          <w:color w:val="483733" w:themeColor="text2"/>
        </w:rPr>
        <w:t>OMV and Masdar Sign Agreement to Develop and Operate New 140MW Green Hydrogen Plant In Austria</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2025-08-04</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Advised Commonwealth LNG in Its EPC Contract with Technip Energies</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2025-12-03</w:t>
      </w:r>
    </w:p>
    <w:p w14:paraId="38DC0FB2" w14:textId="77777777" w:rsidR="0046190E" w:rsidRDefault="0046190E" w:rsidP="0046190E">
      <w:pPr>
        <w:pStyle w:val="H3"/>
        <w:spacing w:before="0"/>
        <w:rPr>
          <w:caps w:val="0"/>
          <w:noProof w:val="0"/>
          <w:color w:val="483733" w:themeColor="text2"/>
        </w:rPr>
      </w:pPr>
      <w:r>
        <w:rPr>
          <w:caps w:val="0"/>
          <w:color w:val="483733" w:themeColor="text2"/>
        </w:rPr>
        <w:t>Outlook and Opportunities in GCC Projects into 2026 and Beyond</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2025-11-26</w:t>
      </w:r>
    </w:p>
    <w:p w14:paraId="38DC0FB2" w14:textId="77777777" w:rsidR="0046190E" w:rsidRDefault="0046190E" w:rsidP="0046190E">
      <w:pPr>
        <w:pStyle w:val="H3"/>
        <w:spacing w:before="0"/>
        <w:rPr>
          <w:caps w:val="0"/>
          <w:noProof w:val="0"/>
          <w:color w:val="483733" w:themeColor="text2"/>
        </w:rPr>
      </w:pPr>
      <w:r>
        <w:rPr>
          <w:caps w:val="0"/>
          <w:color w:val="483733" w:themeColor="text2"/>
        </w:rPr>
        <w:t>Impacts of Postponed IMO Vote on Global Carbon Pricing Rules on Shipping</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2025-11-20</w:t>
      </w:r>
    </w:p>
    <w:p w14:paraId="38DC0FB2" w14:textId="77777777" w:rsidR="0046190E" w:rsidRDefault="0046190E" w:rsidP="0046190E">
      <w:pPr>
        <w:pStyle w:val="H3"/>
        <w:spacing w:before="0"/>
        <w:rPr>
          <w:caps w:val="0"/>
          <w:noProof w:val="0"/>
          <w:color w:val="483733" w:themeColor="text2"/>
        </w:rPr>
      </w:pPr>
      <w:r>
        <w:rPr>
          <w:caps w:val="0"/>
          <w:color w:val="483733" w:themeColor="text2"/>
        </w:rPr>
        <w:t>EPA and Corps of Engineers Release a Proposed New Definition of “Waters of the United States,” Limiting Federal Jurisdiction</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2025-12-09</w:t>
      </w:r>
    </w:p>
    <w:p w14:paraId="4BD15F45" w14:textId="77777777" w:rsidR="009816A0" w:rsidRDefault="009816A0" w:rsidP="009816A0">
      <w:pPr>
        <w:pStyle w:val="H3"/>
        <w:spacing w:before="0"/>
        <w:rPr>
          <w:caps w:val="0"/>
          <w:noProof w:val="0"/>
          <w:color w:val="483733" w:themeColor="text2"/>
        </w:rPr>
      </w:pPr>
      <w:r>
        <w:rPr>
          <w:caps w:val="0"/>
          <w:color w:val="483733" w:themeColor="text2"/>
        </w:rPr>
        <w:t>David Ridenour to Speak at Reuters Energy LIVE Conference 2025</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2025-10-30</w:t>
      </w:r>
    </w:p>
    <w:p w14:paraId="4BD15F45" w14:textId="77777777" w:rsidR="009816A0" w:rsidRDefault="009816A0" w:rsidP="009816A0">
      <w:pPr>
        <w:pStyle w:val="H3"/>
        <w:spacing w:before="0"/>
        <w:rPr>
          <w:caps w:val="0"/>
          <w:noProof w:val="0"/>
          <w:color w:val="483733" w:themeColor="text2"/>
        </w:rPr>
      </w:pPr>
      <w:r>
        <w:rPr>
          <w:caps w:val="0"/>
          <w:color w:val="483733" w:themeColor="text2"/>
        </w:rPr>
        <w:t>Axel Schilder to Speak at ITS – Infrastructure Tax Summit</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2025-10-01</w:t>
      </w:r>
    </w:p>
    <w:p w14:paraId="4BD15F45" w14:textId="77777777" w:rsidR="009816A0" w:rsidRDefault="009816A0" w:rsidP="009816A0">
      <w:pPr>
        <w:pStyle w:val="H3"/>
        <w:spacing w:before="0"/>
        <w:rPr>
          <w:caps w:val="0"/>
          <w:noProof w:val="0"/>
          <w:color w:val="483733" w:themeColor="text2"/>
        </w:rPr>
      </w:pPr>
      <w:r>
        <w:rPr>
          <w:caps w:val="0"/>
          <w:color w:val="483733" w:themeColor="text2"/>
        </w:rPr>
        <w:t>Scott Greer, Terra Cothran and Stuart Zisman to Speak at Chair the 2nd Institute for Energy Law (IEL) Energy Project Development Conference</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2025-12-08</w:t>
      </w:r>
    </w:p>
    <w:p w14:paraId="5700260F" w14:textId="77777777" w:rsidR="00F21DCE" w:rsidRDefault="00F21DCE" w:rsidP="00F21DCE">
      <w:pPr>
        <w:pStyle w:val="H3"/>
        <w:spacing w:before="0"/>
        <w:rPr>
          <w:caps w:val="0"/>
          <w:noProof w:val="0"/>
          <w:color w:val="483733" w:themeColor="text2"/>
        </w:rPr>
      </w:pPr>
      <w:r>
        <w:rPr>
          <w:caps w:val="0"/>
          <w:color w:val="483733" w:themeColor="text2"/>
        </w:rPr>
        <w:t>Law360 profiles Energy MVP Dan Feldman</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2025-12-04</w:t>
      </w:r>
    </w:p>
    <w:p w14:paraId="5700260F" w14:textId="77777777" w:rsidR="00F21DCE" w:rsidRDefault="00F21DCE" w:rsidP="00F21DCE">
      <w:pPr>
        <w:pStyle w:val="H3"/>
        <w:spacing w:before="0"/>
        <w:rPr>
          <w:caps w:val="0"/>
          <w:noProof w:val="0"/>
          <w:color w:val="483733" w:themeColor="text2"/>
        </w:rPr>
      </w:pPr>
      <w:r>
        <w:rPr>
          <w:caps w:val="0"/>
          <w:color w:val="483733" w:themeColor="text2"/>
        </w:rPr>
        <w:t>K&amp;S counsels Abu Dhabi National Energy Company PJSC and Dubal Holding</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Recognition</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2025-12-01</w:t>
      </w:r>
    </w:p>
    <w:p w14:paraId="5700260F" w14:textId="77777777" w:rsidR="00F21DCE" w:rsidRDefault="00F21DCE" w:rsidP="00F21DCE">
      <w:pPr>
        <w:pStyle w:val="H3"/>
        <w:spacing w:before="0"/>
        <w:rPr>
          <w:caps w:val="0"/>
          <w:noProof w:val="0"/>
          <w:color w:val="483733" w:themeColor="text2"/>
        </w:rPr>
      </w:pPr>
      <w:r>
        <w:rPr>
          <w:caps w:val="0"/>
          <w:color w:val="483733" w:themeColor="text2"/>
        </w:rPr>
        <w:t>King &amp; Spalding Earns Multiple Practice and Individual Rankings in 2025 IFLR1000 Guide</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35" TargetMode="External" Id="rId13"/><Relationship Type="http://schemas.openxmlformats.org/officeDocument/2006/relationships/hyperlink" Target="https://www.kslaw.com/news-and-insights?capability_id=35&amp;post_category_id=1&amp;post_type=0" TargetMode="External" Id="rId14"/><Relationship Type="http://schemas.openxmlformats.org/officeDocument/2006/relationships/hyperlink" Target="https://www.kslaw.com/news-and-insights?capability_id=35&amp;post_type=2" TargetMode="External" Id="rId15"/><Relationship Type="http://schemas.openxmlformats.org/officeDocument/2006/relationships/hyperlink" Target="https://www.kslaw.com/news-and-insights?capability_id=35&amp;post_type=1" TargetMode="External" Id="rId16"/><Relationship Type="http://schemas.openxmlformats.org/officeDocument/2006/relationships/hyperlink" Target="https://www.kslaw.com/news-and-insights?capability_id=35&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