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Emerging Companies and Venture Capital</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Startup and high-growth technology and life sciences companies, and the venture  and strategic investors that invest in them, turn to our global team to advise on a wide range of legal and business matters.  With offices in major technology hubs across the United States and around the world, we provide sophisticated counsel to companies at all stages of maturity, from startup to growth stage to public, and to investors from every part of the globe.</w:t>
      </w:r>
    </w:p>
    <w:p>
      <w:pPr>
        <w:pStyle w:val="Paragraph"/>
      </w:pPr>
      <w:r>
        <w:t xml:space="preserve">Our lawyers offer a full range of services tailored to the formation, growth and success of next-generation technology companies and their investors. We advise companies at every stage, including initial formation and fundraising, equity and debt financings, mergers and acquisitions, development and procurement of intellectual property, product and service licensing and SaaS agreements, reseller, distribution and channel deals, employment and equity compensation arrangements, U.S. and international tax planning and restructurings and reorganizations.</w:t>
      </w:r>
    </w:p>
    <w:p>
      <w:pPr>
        <w:pStyle w:val="Paragraph"/>
      </w:pPr>
      <w:r>
        <w:t xml:space="preserve">We advise venture capital funds (VC), corporate venture capital (CVC) departments and other strategic investors, and private equity funds in negotiating investments, exits, divestitures and restructurings.</w:t>
      </w:r>
    </w:p>
    <w:p>
      <w:pPr>
        <w:pStyle w:val="Paragraph"/>
      </w:pPr>
      <w:r>
        <w:t xml:space="preserve">Our combination of legal, business, technology and industry experience enables us to provide clients with comprehensive strategies to meet their goals and position them to maximize value upon exit, whether through acquisition or IPO. </w:t>
      </w:r>
    </w:p>
    <w:p>
      <w:pPr>
        <w:pStyle w:val="Paragraph"/>
      </w:pPr>
      <w:r>
        <w:t xml:space="preserve">Clients benefit from our strong relationships in the emerging growth company and venture capital communities.  Because of our many relationships with investors, we routinely introduce our emerging company clients to VC, CVC, private equity and other investors.</w:t>
      </w:r>
    </w:p>
    <w:p>
      <w:pPr>
        <w:pStyle w:val="Paragraph"/>
      </w:pPr>
      <w:r>
        <w:t xml:space="preserve">Our group brings the firm’s extensive experience in specific industries to bear in counseling clients across a range of markets, including life sciences, healthcare technology, cybersecurity, cloud, internet infrastructure, fintech, insurtech, data analytics, autonomous vehicles, artificial intelligence and machine learning, defense and govtech, blockchain, and conventional, clean and alternative energy.</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Knox</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Laura I. Bushnell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Silicon Valley</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Jeremy M. Schropp</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Daniel R. Kahan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Miami</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Recognized as a leading firm for Startups and Emerging Companies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Venture Capital &amp; Emerging Companies, UAE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Ranked Venture Capital and Emerging Companies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Natura Resources Acquires Shepherd Power from NOV Inc. (NYSE: NOV)</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2025-10-30</w:t>
      </w:r>
    </w:p>
    <w:p w14:paraId="636140DC" w14:textId="77777777" w:rsidR="001C65B2" w:rsidRDefault="001C65B2" w:rsidP="001C65B2">
      <w:pPr>
        <w:pStyle w:val="H3"/>
        <w:spacing w:before="0"/>
        <w:rPr>
          <w:caps w:val="0"/>
          <w:noProof w:val="0"/>
          <w:color w:val="483733" w:themeColor="text2"/>
        </w:rPr>
      </w:pPr>
      <w:r>
        <w:rPr>
          <w:caps w:val="0"/>
          <w:color w:val="483733" w:themeColor="text2"/>
        </w:rPr>
        <w:t>Ripple Labs Inc. Acquires Palisade Financial Group Ltd.</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2025-09-01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Sanabil Investments on SAR 270 million Series B Funding Round for Gathern</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use of English Law in international finance transactions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Thought Leadership</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2025-09-17</w:t>
      </w:r>
    </w:p>
    <w:p w14:paraId="38DC0FB2" w14:textId="77777777" w:rsidR="0046190E" w:rsidRDefault="0046190E" w:rsidP="0046190E">
      <w:pPr>
        <w:pStyle w:val="H3"/>
        <w:spacing w:before="0"/>
        <w:rPr>
          <w:caps w:val="0"/>
          <w:noProof w:val="0"/>
          <w:color w:val="483733" w:themeColor="text2"/>
        </w:rPr>
      </w:pPr>
      <w:r>
        <w:rPr>
          <w:caps w:val="0"/>
          <w:color w:val="483733" w:themeColor="text2"/>
        </w:rPr>
        <w:t>VC Sandbox: Episode 13: From Startup to Institution: Building Enduring Ventures in Saudi Arabia</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2025-05-26</w:t>
      </w:r>
    </w:p>
    <w:p w14:paraId="38DC0FB2" w14:textId="77777777" w:rsidR="0046190E" w:rsidRDefault="0046190E" w:rsidP="0046190E">
      <w:pPr>
        <w:pStyle w:val="H3"/>
        <w:spacing w:before="0"/>
        <w:rPr>
          <w:caps w:val="0"/>
          <w:noProof w:val="0"/>
          <w:color w:val="483733" w:themeColor="text2"/>
        </w:rPr>
      </w:pPr>
      <w:r>
        <w:rPr>
          <w:caps w:val="0"/>
          <w:color w:val="483733" w:themeColor="text2"/>
        </w:rPr>
        <w:t>Innovating finance: How fintech is reshaping MENA</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2025-12-02</w:t>
      </w:r>
    </w:p>
    <w:p w14:paraId="4BD15F45" w14:textId="77777777" w:rsidR="009816A0" w:rsidRDefault="009816A0" w:rsidP="009816A0">
      <w:pPr>
        <w:pStyle w:val="H3"/>
        <w:spacing w:before="0"/>
        <w:rPr>
          <w:caps w:val="0"/>
          <w:noProof w:val="0"/>
          <w:color w:val="483733" w:themeColor="text2"/>
        </w:rPr>
      </w:pPr>
      <w:r>
        <w:rPr>
          <w:caps w:val="0"/>
          <w:color w:val="483733" w:themeColor="text2"/>
        </w:rPr>
        <w:t>Dan Kahan to Speak on a Strafford webinar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2025-07-25</w:t>
      </w:r>
    </w:p>
    <w:p w14:paraId="4BD15F45" w14:textId="77777777" w:rsidR="009816A0" w:rsidRDefault="009816A0" w:rsidP="009816A0">
      <w:pPr>
        <w:pStyle w:val="H3"/>
        <w:spacing w:before="0"/>
        <w:rPr>
          <w:caps w:val="0"/>
          <w:noProof w:val="0"/>
          <w:color w:val="483733" w:themeColor="text2"/>
        </w:rPr>
      </w:pPr>
      <w:r>
        <w:rPr>
          <w:caps w:val="0"/>
          <w:color w:val="483733" w:themeColor="text2"/>
        </w:rPr>
        <w:t>George Hwang and Elizabeth Allan to Speak at the Russell Innovation Center for Entrepreneurs (RICE) Startup Checkup event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2025-09-12</w:t>
      </w:r>
    </w:p>
    <w:p w14:paraId="5700260F" w14:textId="77777777" w:rsidR="00F21DCE" w:rsidRDefault="00F21DCE" w:rsidP="00F21DCE">
      <w:pPr>
        <w:pStyle w:val="H3"/>
        <w:spacing w:before="0"/>
        <w:rPr>
          <w:caps w:val="0"/>
          <w:noProof w:val="0"/>
          <w:color w:val="483733" w:themeColor="text2"/>
        </w:rPr>
      </w:pPr>
      <w:r>
        <w:rPr>
          <w:caps w:val="0"/>
          <w:color w:val="483733" w:themeColor="text2"/>
        </w:rPr>
        <w:t>Dan Kahan, Tom Knox, Eric Nyman, Sophia Luckeneder and Alexander Bach Tran counsel Virtru, a Washington, D.C.-based data security company, on its $50M Series D financing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2025-09-10</w:t>
      </w:r>
    </w:p>
    <w:p w14:paraId="5700260F" w14:textId="77777777" w:rsidR="00F21DCE" w:rsidRDefault="00F21DCE" w:rsidP="00F21DCE">
      <w:pPr>
        <w:pStyle w:val="H3"/>
        <w:spacing w:before="0"/>
        <w:rPr>
          <w:caps w:val="0"/>
          <w:noProof w:val="0"/>
          <w:color w:val="483733" w:themeColor="text2"/>
        </w:rPr>
      </w:pPr>
      <w:r>
        <w:rPr>
          <w:caps w:val="0"/>
          <w:color w:val="483733" w:themeColor="text2"/>
        </w:rPr>
        <w:t>James Stull, Macky O'Sullivan, Saud Aldawsari and Husni Al Far advise Sanabil Investments on the successful closing of its SAR 270 million Series B funding round for Gathern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2025-06-23</w:t>
      </w:r>
    </w:p>
    <w:p w14:paraId="5700260F" w14:textId="77777777" w:rsidR="00F21DCE" w:rsidRDefault="00F21DCE" w:rsidP="00F21DCE">
      <w:pPr>
        <w:pStyle w:val="H3"/>
        <w:spacing w:before="0"/>
        <w:rPr>
          <w:caps w:val="0"/>
          <w:noProof w:val="0"/>
          <w:color w:val="483733" w:themeColor="text2"/>
        </w:rPr>
      </w:pPr>
      <w:r>
        <w:rPr>
          <w:caps w:val="0"/>
          <w:color w:val="483733" w:themeColor="text2"/>
        </w:rPr>
        <w:t>Dan Kahan explains why SPACs are back on the table as a vehicle for smaller crypto firms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80" TargetMode="External" Id="rId13"/><Relationship Type="http://schemas.openxmlformats.org/officeDocument/2006/relationships/hyperlink" Target="https://www.kslaw.com/news-and-insights?capability_id=80&amp;post_category_id=1&amp;post_type=0" TargetMode="External" Id="rId14"/><Relationship Type="http://schemas.openxmlformats.org/officeDocument/2006/relationships/hyperlink" Target="https://www.kslaw.com/news-and-insights?capability_id=80&amp;post_type=2" TargetMode="External" Id="rId15"/><Relationship Type="http://schemas.openxmlformats.org/officeDocument/2006/relationships/hyperlink" Target="https://www.kslaw.com/news-and-insights?capability_id=80&amp;post_type=1" TargetMode="External" Id="rId16"/><Relationship Type="http://schemas.openxmlformats.org/officeDocument/2006/relationships/hyperlink" Target="https://www.kslaw.com/news-and-insights?capability_id=80&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