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E-Discovery</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We pioneered the dedicated Discovery Practice in 1995 and have more than two decades of experience advising the world's largest companies across all phases of the e-discovery process in crisis investigations and litigation of all types.  </w:t>
      </w:r>
      <w:r>
        <w:rPr>
          <w:i/>
        </w:rPr>
        <w:t xml:space="preserve">Chambers USA </w:t>
      </w:r>
      <w:r>
        <w:t xml:space="preserve">(2024), </w:t>
      </w:r>
      <w:r>
        <w:rPr>
          <w:i/>
        </w:rPr>
        <w:t xml:space="preserve">Chambers Global </w:t>
      </w:r>
      <w:r>
        <w:t xml:space="preserve">(2025)</w:t>
      </w:r>
      <w:r>
        <w:rPr>
          <w:i/>
        </w:rPr>
        <w:t xml:space="preserve">, </w:t>
      </w:r>
      <w:r>
        <w:t xml:space="preserve">and </w:t>
      </w:r>
      <w:r>
        <w:rPr>
          <w:i/>
        </w:rPr>
        <w:t xml:space="preserve">Legal 500 </w:t>
      </w:r>
      <w:r>
        <w:t xml:space="preserve">(2024) have identified our practice as one of the top e-discovery practices in the country.  </w:t>
      </w:r>
      <w:r>
        <w:rPr>
          <w:i/>
        </w:rPr>
        <w:t xml:space="preserve">Chambers</w:t>
      </w:r>
      <w:r>
        <w:t xml:space="preserve"> states that the team is known for “hosting a substantial and sought after team of attorneys” that “regularly undertakes e-discovery management mandates on high-stakes cases and investigations.”  Clients refer to us as “one of the best legal teams in the business who have a lot of experience with complex and sophisticated matters,” (</w:t>
      </w:r>
      <w:r>
        <w:rPr>
          <w:i/>
        </w:rPr>
        <w:t xml:space="preserve">Chambers USA </w:t>
      </w:r>
      <w:r>
        <w:t xml:space="preserve">2023) and as “the premiere e-discovery practice in the nation, full stop. There is no comparison.” (</w:t>
      </w:r>
      <w:r>
        <w:rPr>
          <w:i/>
        </w:rPr>
        <w:t xml:space="preserve">Legal 500 </w:t>
      </w:r>
      <w:r>
        <w:t xml:space="preserve">US). </w:t>
      </w:r>
      <w:r>
        <w:rPr>
          <w:i/>
        </w:rPr>
        <w:t xml:space="preserve">Legal 500 </w:t>
      </w:r>
      <w:r>
        <w:t xml:space="preserve">notes we have bench strength beyond measure and a team of attorneys and specialized e-discovery experts that can handle any issue, no matter how complex or massive.”  Our attorneys:</w:t>
      </w:r>
    </w:p>
    <w:p>
      <w:pPr>
        <w:pStyle w:val="ListBullet"/>
        <w:numPr>
          <w:ilvl w:val="0"/>
          <w:numId w:val="21"/>
        </w:numPr>
      </w:pPr>
      <w:r>
        <w:t xml:space="preserve">•  prepare and negotiate ESI protocols;</w:t>
      </w:r>
    </w:p>
    <w:p>
      <w:pPr>
        <w:pStyle w:val="ListBullet"/>
        <w:numPr>
          <w:ilvl w:val="0"/>
          <w:numId w:val="21"/>
        </w:numPr>
      </w:pPr>
      <w:r>
        <w:t xml:space="preserve">•  manage and implement email, IM and mobile retention policies and defensible deletion/purging;</w:t>
      </w:r>
    </w:p>
    <w:p>
      <w:pPr>
        <w:pStyle w:val="ListBullet"/>
        <w:numPr>
          <w:ilvl w:val="0"/>
          <w:numId w:val="21"/>
        </w:numPr>
      </w:pPr>
      <w:r>
        <w:t xml:space="preserve">•  conduct and manage data preservation, collection, review and production;</w:t>
      </w:r>
    </w:p>
    <w:p>
      <w:pPr>
        <w:pStyle w:val="ListBullet"/>
        <w:numPr>
          <w:ilvl w:val="0"/>
          <w:numId w:val="21"/>
        </w:numPr>
      </w:pPr>
      <w:r>
        <w:t xml:space="preserve">•  develop litigation readiness tools and playbooks;</w:t>
      </w:r>
    </w:p>
    <w:p>
      <w:pPr>
        <w:pStyle w:val="ListBullet"/>
        <w:numPr>
          <w:ilvl w:val="0"/>
          <w:numId w:val="21"/>
        </w:numPr>
      </w:pPr>
      <w:r>
        <w:t xml:space="preserve">•  advise on Microsoft Office 365 and mobile device challenges;</w:t>
      </w:r>
    </w:p>
    <w:p>
      <w:pPr>
        <w:pStyle w:val="ListBullet"/>
        <w:numPr>
          <w:ilvl w:val="0"/>
          <w:numId w:val="21"/>
        </w:numPr>
      </w:pPr>
      <w:r>
        <w:t xml:space="preserve">•  defend e-discovery practices in court;</w:t>
      </w:r>
    </w:p>
    <w:p>
      <w:pPr>
        <w:pStyle w:val="ListBullet"/>
        <w:numPr>
          <w:ilvl w:val="0"/>
          <w:numId w:val="21"/>
        </w:numPr>
      </w:pPr>
      <w:r>
        <w:t xml:space="preserve">•  manage and conduct multilingual cross-border document review projects;</w:t>
      </w:r>
    </w:p>
    <w:p>
      <w:pPr>
        <w:pStyle w:val="ListBullet"/>
        <w:numPr>
          <w:ilvl w:val="0"/>
          <w:numId w:val="21"/>
        </w:numPr>
      </w:pPr>
      <w:r>
        <w:t xml:space="preserve">•  review and negotiate vendor contracts saving our clients millions of dollars; and</w:t>
      </w:r>
    </w:p>
    <w:p>
      <w:pPr>
        <w:pStyle w:val="ListBullet"/>
        <w:numPr>
          <w:ilvl w:val="0"/>
          <w:numId w:val="21"/>
        </w:numPr>
      </w:pPr>
      <w:r>
        <w:t xml:space="preserve">•  perform due diligence for complex transactions.</w:t>
      </w:r>
    </w:p>
    <w:p>
      <w:pPr>
        <w:pStyle w:val="Paragraph"/>
      </w:pPr>
      <w:r>
        <w:t xml:space="preserve">Our world e-discovery practice is led by industry pioneers John Tucker and Ronni Solomon, and supported by the most experienced group of e-discovery attorneys with the longest average tenure in the field – 10.5 years.  With a team of 100 full-time, dedicated attorneys, including a dedicated presence in our London office, we quickly mobilize to respond to clients in crisis around the globe and these clients rely on the quality of our work and experience to ensure that e-discovery does not become a costly sideshow in their matters.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R. Tucker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Ronni D. Solomon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Chris Costello</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Los Angeles</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Jenni L. Weaver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London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Tanya Canup</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Lisa C. Smith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2</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USA, 2024</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Band 2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Global, 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2025-06-02</w:t>
      </w:r>
    </w:p>
    <w:p w14:paraId="38DC0FB2" w14:textId="77777777" w:rsidR="0046190E" w:rsidRDefault="0046190E" w:rsidP="0046190E">
      <w:pPr>
        <w:pStyle w:val="H3"/>
        <w:spacing w:before="0"/>
        <w:rPr>
          <w:caps w:val="0"/>
          <w:noProof w:val="0"/>
          <w:color w:val="483733" w:themeColor="text2"/>
        </w:rPr>
      </w:pPr>
      <w:r>
        <w:rPr>
          <w:caps w:val="0"/>
          <w:color w:val="483733" w:themeColor="text2"/>
        </w:rPr>
        <w:t>Washington District Court Limits Litigants’ Ability to Claw Back Privileged Documents Erroneously Produced in Discovery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2025-02-18</w:t>
      </w:r>
    </w:p>
    <w:p w14:paraId="38DC0FB2" w14:textId="77777777" w:rsidR="0046190E" w:rsidRDefault="0046190E" w:rsidP="0046190E">
      <w:pPr>
        <w:pStyle w:val="H3"/>
        <w:spacing w:before="0"/>
        <w:rPr>
          <w:caps w:val="0"/>
          <w:noProof w:val="0"/>
          <w:color w:val="483733" w:themeColor="text2"/>
        </w:rPr>
      </w:pPr>
      <w:r>
        <w:rPr>
          <w:caps w:val="0"/>
          <w:color w:val="483733" w:themeColor="text2"/>
        </w:rPr>
        <w:t>Keeping Up-To-Date Tracking of AI-Related News from the EU and UK</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2025-01-14</w:t>
      </w:r>
    </w:p>
    <w:p w14:paraId="38DC0FB2" w14:textId="77777777" w:rsidR="0046190E" w:rsidRDefault="0046190E" w:rsidP="0046190E">
      <w:pPr>
        <w:pStyle w:val="H3"/>
        <w:spacing w:before="0"/>
        <w:rPr>
          <w:caps w:val="0"/>
          <w:noProof w:val="0"/>
          <w:color w:val="483733" w:themeColor="text2"/>
        </w:rPr>
      </w:pPr>
      <w:r>
        <w:rPr>
          <w:caps w:val="0"/>
          <w:color w:val="483733" w:themeColor="text2"/>
        </w:rPr>
        <w:t>Generative AI in Law: Understanding the Latest Professional Guidelines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2025-06-20</w:t>
      </w:r>
    </w:p>
    <w:p w14:paraId="4BD15F45" w14:textId="77777777" w:rsidR="009816A0" w:rsidRDefault="009816A0" w:rsidP="009816A0">
      <w:pPr>
        <w:pStyle w:val="H3"/>
        <w:spacing w:before="0"/>
        <w:rPr>
          <w:caps w:val="0"/>
          <w:noProof w:val="0"/>
          <w:color w:val="483733" w:themeColor="text2"/>
        </w:rPr>
      </w:pPr>
      <w:r>
        <w:rPr>
          <w:caps w:val="0"/>
          <w:color w:val="483733" w:themeColor="text2"/>
        </w:rPr>
        <w:t>Kassi Burns to Speak at the State Bar of Texas Annual Meeting</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2025-03-07</w:t>
      </w:r>
    </w:p>
    <w:p w14:paraId="4BD15F45" w14:textId="77777777" w:rsidR="009816A0" w:rsidRDefault="009816A0" w:rsidP="009816A0">
      <w:pPr>
        <w:pStyle w:val="H3"/>
        <w:spacing w:before="0"/>
        <w:rPr>
          <w:caps w:val="0"/>
          <w:noProof w:val="0"/>
          <w:color w:val="483733" w:themeColor="text2"/>
        </w:rPr>
      </w:pPr>
      <w:r>
        <w:rPr>
          <w:caps w:val="0"/>
          <w:color w:val="483733" w:themeColor="text2"/>
        </w:rPr>
        <w:t>Kassi Burns to Speak at the Academy of Court-Appointed Neutrals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2025-01-22</w:t>
      </w:r>
    </w:p>
    <w:p w14:paraId="4BD15F45" w14:textId="77777777" w:rsidR="009816A0" w:rsidRDefault="009816A0" w:rsidP="009816A0">
      <w:pPr>
        <w:pStyle w:val="H3"/>
        <w:spacing w:before="0"/>
        <w:rPr>
          <w:caps w:val="0"/>
          <w:noProof w:val="0"/>
          <w:color w:val="483733" w:themeColor="text2"/>
        </w:rPr>
      </w:pPr>
      <w:r>
        <w:rPr>
          <w:caps w:val="0"/>
          <w:color w:val="483733" w:themeColor="text2"/>
        </w:rPr>
        <w:t>Kassi Burns to Speak at myLawCLE webinar</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2025-04-15</w:t>
      </w:r>
    </w:p>
    <w:p w14:paraId="5700260F" w14:textId="77777777" w:rsidR="00F21DCE" w:rsidRDefault="00F21DCE" w:rsidP="00F21DCE">
      <w:pPr>
        <w:pStyle w:val="H3"/>
        <w:spacing w:before="0"/>
        <w:rPr>
          <w:caps w:val="0"/>
          <w:noProof w:val="0"/>
          <w:color w:val="483733" w:themeColor="text2"/>
        </w:rPr>
      </w:pPr>
      <w:r>
        <w:rPr>
          <w:caps w:val="0"/>
          <w:color w:val="483733" w:themeColor="text2"/>
        </w:rPr>
        <w:t>E-Discovery partner Chris Costello joins the firm’s Product Liability and Mass Torts practice group in Los Angeles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7" TargetMode="External" Id="rId13"/><Relationship Type="http://schemas.openxmlformats.org/officeDocument/2006/relationships/hyperlink" Target="https://www.kslaw.com/news-and-insights?capability_id=7&amp;post_type=2" TargetMode="External" Id="rId14"/><Relationship Type="http://schemas.openxmlformats.org/officeDocument/2006/relationships/hyperlink" Target="https://www.kslaw.com/news-and-insights?capability_id=7&amp;post_type=1" TargetMode="External" Id="rId15"/><Relationship Type="http://schemas.openxmlformats.org/officeDocument/2006/relationships/hyperlink" Target="https://www.kslaw.com/news-and-insights?capability_id=7&amp;post_type=0" TargetMode="External" Id="rId16"/></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