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Class Action Defense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Class Action Defense practice is a nationwide leader. Our experience spans industries and subject matters, and we have litigated class action cases in virtually every major jurisdiction throughout the country. In the past five years, we have represented clients in hundreds of class actions, the vast majority of which have been dismissed or effectively resolved at an early stage in the litigation and on terms favorable to our clients. Consistent with our clients’ interests in these cases, we typically push for early dismissal or resolution through aggressive motion practice, but we are also uniquely experienced and capable to try these cases to conclusion. We are one of the few firms with actual experience trying class actions to verdict.</w:t>
      </w:r>
    </w:p>
    <w:p>
      <w:pPr>
        <w:pStyle w:val="Paragraph"/>
      </w:pPr>
      <w:r>
        <w:t xml:space="preserve">We have deep experience representing clients who face large numbers of class actions. Our clients are sophisticated consumers of the services that our practice offers, and for years, we have proven adept at partnering with these clients to defend class action claims. Our experience and value have also benefited clients who face class litigation less frequently, whether in cases that are viewed as mere nuisance or those that challenge significant business practices.</w:t>
      </w:r>
    </w:p>
    <w:p>
      <w:pPr>
        <w:pStyle w:val="Paragraph"/>
      </w:pPr>
      <w:r>
        <w:t xml:space="preserve">Our success in class actions stems from our unparalleled experience. We have learned the defenses and arguments that are most likely to prevail on behalf of our clients, whether on the merits or in defense of class certification, and we know enough to recognize those claims that are more appropriate for early or class-wide resolution. Trusting our class action practice allows our clients to tap into this experience and know-how.</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David L. Balser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Zachary A. McEntyre (Zach)</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Law Firm of the Year: Mass Tort Litigation / Class Actions – Defendants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U.S. News &amp; World Report, 2023</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Nationally Ranked for Consumer Class Actions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2022</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in Multiple Categories for Product Liability, Mass Tort &amp; Class Actions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2022</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2025-11-25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Another Victory for Boehringer Ingelheim in Zantac-Related Trial</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2025-09-25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Victory for NatWest in Multidistrict LIBOR Litigation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2025-09-02</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Dismissal of Antitrust Class Action Against Six Continents Hotels, Inc.</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2025-11-14</w:t>
      </w:r>
    </w:p>
    <w:p w14:paraId="38DC0FB2" w14:textId="77777777" w:rsidR="0046190E" w:rsidRDefault="0046190E" w:rsidP="0046190E">
      <w:pPr>
        <w:pStyle w:val="H3"/>
        <w:spacing w:before="0"/>
        <w:rPr>
          <w:caps w:val="0"/>
          <w:noProof w:val="0"/>
          <w:color w:val="483733" w:themeColor="text2"/>
        </w:rPr>
      </w:pPr>
      <w:r>
        <w:rPr>
          <w:caps w:val="0"/>
          <w:color w:val="483733" w:themeColor="text2"/>
        </w:rPr>
        <w:t>High Court finds in favour of victims of the Mariana Dam disaster</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2025-09-18</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Latest in Georgia Antitrust Litigation, Including Multi-District Litigation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2025-06-09</w:t>
      </w:r>
    </w:p>
    <w:p w14:paraId="38DC0FB2" w14:textId="77777777" w:rsidR="0046190E" w:rsidRDefault="0046190E" w:rsidP="0046190E">
      <w:pPr>
        <w:pStyle w:val="H3"/>
        <w:spacing w:before="0"/>
        <w:rPr>
          <w:caps w:val="0"/>
          <w:noProof w:val="0"/>
          <w:color w:val="483733" w:themeColor="text2"/>
        </w:rPr>
      </w:pPr>
      <w:r>
        <w:rPr>
          <w:caps w:val="0"/>
          <w:color w:val="483733" w:themeColor="text2"/>
        </w:rPr>
        <w:t>MultiPlan Algorithmic Pricing Antitrust Claims Survive Motion to Dismiss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2025-05-01</w:t>
      </w:r>
    </w:p>
    <w:p w14:paraId="4BD15F45" w14:textId="77777777" w:rsidR="009816A0" w:rsidRDefault="009816A0" w:rsidP="009816A0">
      <w:pPr>
        <w:pStyle w:val="H3"/>
        <w:spacing w:before="0"/>
        <w:rPr>
          <w:caps w:val="0"/>
          <w:noProof w:val="0"/>
          <w:color w:val="483733" w:themeColor="text2"/>
        </w:rPr>
      </w:pPr>
      <w:r>
        <w:rPr>
          <w:caps w:val="0"/>
          <w:color w:val="483733" w:themeColor="text2"/>
        </w:rPr>
        <w:t>Madison Kitchens to Speak at the American Bar Association’s Annual Litigation Section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2025-04-14</w:t>
      </w:r>
    </w:p>
    <w:p w14:paraId="4BD15F45" w14:textId="77777777" w:rsidR="009816A0" w:rsidRDefault="009816A0" w:rsidP="009816A0">
      <w:pPr>
        <w:pStyle w:val="H3"/>
        <w:spacing w:before="0"/>
        <w:rPr>
          <w:caps w:val="0"/>
          <w:noProof w:val="0"/>
          <w:color w:val="483733" w:themeColor="text2"/>
        </w:rPr>
      </w:pPr>
      <w:r>
        <w:rPr>
          <w:caps w:val="0"/>
          <w:color w:val="483733" w:themeColor="text2"/>
        </w:rPr>
        <w:t>Lazar Raynal to Speak on The Intersection podcast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2025-03-12</w:t>
      </w:r>
    </w:p>
    <w:p w14:paraId="4BD15F45" w14:textId="77777777" w:rsidR="009816A0" w:rsidRDefault="009816A0" w:rsidP="009816A0">
      <w:pPr>
        <w:pStyle w:val="H3"/>
        <w:spacing w:before="0"/>
        <w:rPr>
          <w:caps w:val="0"/>
          <w:noProof w:val="0"/>
          <w:color w:val="483733" w:themeColor="text2"/>
        </w:rPr>
      </w:pPr>
      <w:r>
        <w:rPr>
          <w:caps w:val="0"/>
          <w:color w:val="483733" w:themeColor="text2"/>
        </w:rPr>
        <w:t>Lohr Beck to Speak at a panel discussion on Antitrust Updates</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2025-12-05</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is recognized in this week’s Law.com Litigator of the Week Runners Up for their victory on behalf of Boehringer Ingelheim in a Zantac-related jury trial before an Illinois state court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the firm’s Business Litigation practice group as a partner in the Atlanta office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King &amp; Spalding in Atlanta</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3" TargetMode="External" Id="rId13"/><Relationship Type="http://schemas.openxmlformats.org/officeDocument/2006/relationships/hyperlink" Target="https://www.kslaw.com/news-and-insights?capability_id=3&amp;post_category_id=1&amp;post_type=0" TargetMode="External" Id="rId14"/><Relationship Type="http://schemas.openxmlformats.org/officeDocument/2006/relationships/hyperlink" Target="https://www.kslaw.com/news-and-insights?capability_id=3&amp;post_type=2" TargetMode="External" Id="rId15"/><Relationship Type="http://schemas.openxmlformats.org/officeDocument/2006/relationships/hyperlink" Target="https://www.kslaw.com/news-and-insights?capability_id=3&amp;post_type=1" TargetMode="External" Id="rId16"/><Relationship Type="http://schemas.openxmlformats.org/officeDocument/2006/relationships/hyperlink" Target="https://www.kslaw.com/news-and-insights?capability_id=3&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