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Capital Markets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Evolving political outcomes, regulation and technology continue to shape the capital markets ecosystem. Our Capital Markets team represents issuers, sellers and underwriters, including all major investment banks, in public and private offerings of debt and equity securities.</w:t>
      </w:r>
    </w:p>
    <w:p>
      <w:pPr>
        <w:pStyle w:val="Paragraph"/>
      </w:pPr>
      <w:r>
        <w:t xml:space="preserve">Working closely with our M&amp;A, Private Equity and Finance teams, including Islamic Finance and Investment, our Capital Markets lawyers lead transactions on behalf of clients across all sectors, with a focus on the energy, financial institutions, life sciences and healthcare, industrials, real estate and telecommunications industries.</w:t>
      </w:r>
    </w:p>
    <w:p>
      <w:pPr>
        <w:pStyle w:val="Paragraph"/>
      </w:pPr>
      <w:r>
        <w:t xml:space="preserve">We have depth of experience across the full range of corporate financial transactions and solutions, including:</w:t>
      </w:r>
    </w:p>
    <w:p>
      <w:pPr>
        <w:pStyle w:val="ListBullet"/>
        <w:numPr>
          <w:ilvl w:val="0"/>
          <w:numId w:val="21"/>
        </w:numPr>
      </w:pPr>
      <w:r>
        <w:t xml:space="preserve">•  initial and follow-on public offerings</w:t>
      </w:r>
    </w:p>
    <w:p>
      <w:pPr>
        <w:pStyle w:val="ListBullet"/>
        <w:numPr>
          <w:ilvl w:val="0"/>
          <w:numId w:val="21"/>
        </w:numPr>
      </w:pPr>
      <w:r>
        <w:t xml:space="preserve">•  private placements and Rule 144A offerings</w:t>
      </w:r>
    </w:p>
    <w:p>
      <w:pPr>
        <w:pStyle w:val="ListBullet"/>
        <w:numPr>
          <w:ilvl w:val="0"/>
          <w:numId w:val="21"/>
        </w:numPr>
      </w:pPr>
      <w:r>
        <w:t xml:space="preserve">•  shelf registrations and takedowns</w:t>
      </w:r>
    </w:p>
    <w:p>
      <w:pPr>
        <w:pStyle w:val="ListBullet"/>
        <w:numPr>
          <w:ilvl w:val="0"/>
          <w:numId w:val="21"/>
        </w:numPr>
      </w:pPr>
      <w:r>
        <w:t xml:space="preserve">•  medium-term note programs</w:t>
      </w:r>
    </w:p>
    <w:p>
      <w:pPr>
        <w:pStyle w:val="ListBullet"/>
        <w:numPr>
          <w:ilvl w:val="0"/>
          <w:numId w:val="21"/>
        </w:numPr>
      </w:pPr>
      <w:r>
        <w:t xml:space="preserve">•  high-yield debt offerings</w:t>
      </w:r>
    </w:p>
    <w:p>
      <w:pPr>
        <w:pStyle w:val="ListBullet"/>
        <w:numPr>
          <w:ilvl w:val="0"/>
          <w:numId w:val="21"/>
        </w:numPr>
      </w:pPr>
      <w:r>
        <w:t xml:space="preserve">•  equity-linked securities (including trust preferred securities, tracking stock, equity security units and convertible debt)</w:t>
      </w:r>
    </w:p>
    <w:p>
      <w:pPr>
        <w:pStyle w:val="ListBullet"/>
        <w:numPr>
          <w:ilvl w:val="0"/>
          <w:numId w:val="21"/>
        </w:numPr>
      </w:pPr>
      <w:r>
        <w:t xml:space="preserve">•  American Depositary Share offerings</w:t>
      </w:r>
    </w:p>
    <w:p>
      <w:pPr>
        <w:pStyle w:val="ListBullet"/>
        <w:numPr>
          <w:ilvl w:val="0"/>
          <w:numId w:val="21"/>
        </w:numPr>
      </w:pPr>
      <w:r>
        <w:t xml:space="preserve">•  Eurodollar offerings</w:t>
      </w:r>
    </w:p>
    <w:p>
      <w:pPr>
        <w:pStyle w:val="ListBullet"/>
        <w:numPr>
          <w:ilvl w:val="0"/>
          <w:numId w:val="21"/>
        </w:numPr>
      </w:pPr>
      <w:r>
        <w:t xml:space="preserve">•  tracking stock and spin-off transactions</w:t>
      </w:r>
    </w:p>
    <w:p>
      <w:pPr>
        <w:pStyle w:val="ListBullet"/>
        <w:numPr>
          <w:ilvl w:val="0"/>
          <w:numId w:val="21"/>
        </w:numPr>
      </w:pPr>
      <w:r>
        <w:t xml:space="preserve">•  tender offers and consent solicitations</w:t>
      </w:r>
    </w:p>
    <w:p>
      <w:pPr>
        <w:pStyle w:val="ListBullet"/>
        <w:numPr>
          <w:ilvl w:val="0"/>
          <w:numId w:val="21"/>
        </w:numPr>
      </w:pPr>
      <w:r>
        <w:t xml:space="preserve">•  registered exchange offers</w:t>
      </w:r>
    </w:p>
    <w:p>
      <w:pPr>
        <w:pStyle w:val="Paragraph"/>
      </w:pPr>
      <w:r>
        <w:t xml:space="preserve"> In addition to capital-raising transactions, we are also active in a range of equity and liability management transactions.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Keith M. Townsend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Elizabeth Morgan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nationally by Legal 500 US in its 2024 guide for Capital Markets: Debt and Equity Offerings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one of the leading law firms advising on finance and corporate matters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IFLR 1000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Counsel in over 165 corporate finance transactions involving more than $100 billion in value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2025-10-28</w:t>
      </w:r>
    </w:p>
    <w:p w14:paraId="636140DC" w14:textId="77777777" w:rsidR="001C65B2" w:rsidRDefault="001C65B2" w:rsidP="001C65B2">
      <w:pPr>
        <w:pStyle w:val="H3"/>
        <w:spacing w:before="0"/>
        <w:rPr>
          <w:caps w:val="0"/>
          <w:noProof w:val="0"/>
          <w:color w:val="483733" w:themeColor="text2"/>
        </w:rPr>
      </w:pPr>
      <w:r>
        <w:rPr>
          <w:caps w:val="0"/>
          <w:color w:val="483733" w:themeColor="text2"/>
        </w:rPr>
        <w:t>Terrestrial Energy Inc. Completes Business Combination with HCM II Acquisition Corp.</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2025-10-23</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Air France-KLM On Its Acquisition Of A Minority Stake In WestJet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2025-10-03</w:t>
      </w:r>
    </w:p>
    <w:p w14:paraId="636140DC" w14:textId="77777777" w:rsidR="001C65B2" w:rsidRDefault="001C65B2" w:rsidP="001C65B2">
      <w:pPr>
        <w:pStyle w:val="H3"/>
        <w:spacing w:before="0"/>
        <w:rPr>
          <w:caps w:val="0"/>
          <w:noProof w:val="0"/>
          <w:color w:val="483733" w:themeColor="text2"/>
        </w:rPr>
      </w:pPr>
      <w:r>
        <w:rPr>
          <w:caps w:val="0"/>
          <w:color w:val="483733" w:themeColor="text2"/>
        </w:rPr>
        <w:t>European-headquartered Global Investment Bank and a U.S. Based Global Commercial and Investment Bank Completes Upsize of Secured Billboard Variable Funding Notes</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Exercising caution in relying on the ‘Obligors’ Agent’ construct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2025-12-01</w:t>
      </w:r>
    </w:p>
    <w:p w14:paraId="38DC0FB2" w14:textId="77777777" w:rsidR="0046190E" w:rsidRDefault="0046190E" w:rsidP="0046190E">
      <w:pPr>
        <w:pStyle w:val="H3"/>
        <w:spacing w:before="0"/>
        <w:rPr>
          <w:caps w:val="0"/>
          <w:noProof w:val="0"/>
          <w:color w:val="483733" w:themeColor="text2"/>
        </w:rPr>
      </w:pPr>
      <w:r>
        <w:rPr>
          <w:caps w:val="0"/>
          <w:color w:val="483733" w:themeColor="text2"/>
        </w:rPr>
        <w:t>Packaging artists in trouble – ESMA recommends adjusting the UCITS Eligible Assets Directive</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use of English Law in international finance transactions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2025-11-17</w:t>
      </w:r>
    </w:p>
    <w:p w14:paraId="4BD15F45" w14:textId="77777777" w:rsidR="009816A0" w:rsidRDefault="009816A0" w:rsidP="009816A0">
      <w:pPr>
        <w:pStyle w:val="H3"/>
        <w:spacing w:before="0"/>
        <w:rPr>
          <w:caps w:val="0"/>
          <w:noProof w:val="0"/>
          <w:color w:val="483733" w:themeColor="text2"/>
        </w:rPr>
      </w:pPr>
      <w:r>
        <w:rPr>
          <w:caps w:val="0"/>
          <w:color w:val="483733" w:themeColor="text2"/>
        </w:rPr>
        <w:t>Jennifer Morgan to Speak at the Commercial Observer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2025-06-26</w:t>
      </w:r>
    </w:p>
    <w:p w14:paraId="4BD15F45" w14:textId="77777777" w:rsidR="009816A0" w:rsidRDefault="009816A0" w:rsidP="009816A0">
      <w:pPr>
        <w:pStyle w:val="H3"/>
        <w:spacing w:before="0"/>
        <w:rPr>
          <w:caps w:val="0"/>
          <w:noProof w:val="0"/>
          <w:color w:val="483733" w:themeColor="text2"/>
        </w:rPr>
      </w:pPr>
      <w:r>
        <w:rPr>
          <w:caps w:val="0"/>
          <w:color w:val="483733" w:themeColor="text2"/>
        </w:rPr>
        <w:t>Moritz Heidbuechel to Speak at EBS Executive School</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2025-06-12</w:t>
      </w:r>
    </w:p>
    <w:p w14:paraId="4BD15F45" w14:textId="77777777" w:rsidR="009816A0" w:rsidRDefault="009816A0" w:rsidP="009816A0">
      <w:pPr>
        <w:pStyle w:val="H3"/>
        <w:spacing w:before="0"/>
        <w:rPr>
          <w:caps w:val="0"/>
          <w:noProof w:val="0"/>
          <w:color w:val="483733" w:themeColor="text2"/>
        </w:rPr>
      </w:pPr>
      <w:r>
        <w:rPr>
          <w:caps w:val="0"/>
          <w:color w:val="483733" w:themeColor="text2"/>
        </w:rPr>
        <w:t>Sebastian Kaufmann and Moritz Heidbuechel to Speak at EBS Executive School</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Earns Multiple Practice and Individual Rankings in 2025 IFLR1000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Laurent Bensaid, Agnieszka Opalach, Eve-Christie Vermynck and Allison Bell advise Air France-KLM on its acquisition of a minority stake in Canadian airline WestJet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Carter’s on the closing of its sale of $575M aggregate principal senior notes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6" TargetMode="External" Id="rId13"/><Relationship Type="http://schemas.openxmlformats.org/officeDocument/2006/relationships/hyperlink" Target="https://www.kslaw.com/news-and-insights?capability_id=26&amp;post_category_id=1&amp;post_type=0" TargetMode="External" Id="rId14"/><Relationship Type="http://schemas.openxmlformats.org/officeDocument/2006/relationships/hyperlink" Target="https://www.kslaw.com/news-and-insights?capability_id=26&amp;post_type=2" TargetMode="External" Id="rId15"/><Relationship Type="http://schemas.openxmlformats.org/officeDocument/2006/relationships/hyperlink" Target="https://www.kslaw.com/news-and-insights?capability_id=26&amp;post_type=1" TargetMode="External" Id="rId16"/><Relationship Type="http://schemas.openxmlformats.org/officeDocument/2006/relationships/hyperlink" Target="https://www.kslaw.com/news-and-insights?capability_id=26&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