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Bankruptcy and Insolvency Litigation</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When companies experience financial distress,  litigation often follows. Although litigation is not a desired means to accomplish a successful financial restructuring, achieving the most successful outcome requires an expert assessment of litigation risks and opportunities – and the experience and confidence to pursue litigation when necessary. </w:t>
      </w:r>
    </w:p>
    <w:p>
      <w:pPr>
        <w:pStyle w:val="Paragraph"/>
      </w:pPr>
      <w:r>
        <w:t xml:space="preserve">King &amp; Spalding’s bankruptcy and insolvency-related litigators have the experience — both in the boardroom and the courtroom — to assist financial institutions, alternative capital and debt funds, private equity firms, professional services firms, directors and officers, and other interested parties in evaluating the litigation risks and opportunities presented in the context of financial restructurings, bankruptcies, or other situations involving financial distress. </w:t>
      </w:r>
    </w:p>
    <w:p>
      <w:pPr>
        <w:pStyle w:val="Paragraph"/>
      </w:pPr>
      <w:r>
        <w:t xml:space="preserve">Bankruptcy and Insolvency-related litigation can take many forms, including avoidance actions, successor liability and alter ego claims, lender liability claims, alleged breaches of fiduciary duty and government investigations and enforcement actions.  Dealing with these types of claims requires both an in-depth understanding of the bankruptcy and insolvency laws as well as litigation skill, perspective and judgment that is tailored and sharpened to the particular issues and the unique context in which these claims arise.</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Thaddeus D. Wilson (Thad)</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Israel Dahan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Five bankruptcy lawyers recognized as leading practitioners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Top ranked Bankruptcy practice nationwide and regionally (Georgia (2006-2025), New York (2021-2025), Nationwide (2021 - 2025))</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A Tier 1 law firm for Bankruptcy and Creditor Debtor Rights / Insolvency and Reorganization Law</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US News &amp; World Report, 2023</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2024-03-22</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$900 Million for Reficar in Its Dispute with Chicago Bridge &amp; Iron (CB&amp;I)</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2023-06-15</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represents private equity house Triton’s Mangrove Luxco IV S.a r.l. in landmark insolvency litigation before German regional court</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2022-05-03</w:t>
      </w:r>
    </w:p>
    <w:p w14:paraId="636140DC" w14:textId="77777777" w:rsidR="001C65B2" w:rsidRDefault="001C65B2" w:rsidP="001C65B2">
      <w:pPr>
        <w:pStyle w:val="H3"/>
        <w:spacing w:before="0"/>
        <w:rPr>
          <w:caps w:val="0"/>
          <w:noProof w:val="0"/>
          <w:color w:val="483733" w:themeColor="text2"/>
        </w:rPr>
      </w:pPr>
      <w:r>
        <w:rPr>
          <w:caps w:val="0"/>
          <w:color w:val="483733" w:themeColor="text2"/>
        </w:rPr>
        <w:t>JW Aluminum Company Wins Eleventh Circuit Bankruptcy Appeal</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2025-12-08</w:t>
      </w:r>
    </w:p>
    <w:p w14:paraId="38DC0FB2" w14:textId="77777777" w:rsidR="0046190E" w:rsidRDefault="0046190E" w:rsidP="0046190E">
      <w:pPr>
        <w:pStyle w:val="H3"/>
        <w:spacing w:before="0"/>
        <w:rPr>
          <w:caps w:val="0"/>
          <w:noProof w:val="0"/>
          <w:color w:val="483733" w:themeColor="text2"/>
        </w:rPr>
      </w:pPr>
      <w:r>
        <w:rPr>
          <w:caps w:val="0"/>
          <w:color w:val="483733" w:themeColor="text2"/>
        </w:rPr>
        <w:t>D&amp;O Insurance Policies, Proceeds And The Automatic Stay: Who Owns What In Bankruptcy?</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2025-11-11</w:t>
      </w:r>
    </w:p>
    <w:p w14:paraId="38DC0FB2" w14:textId="77777777" w:rsidR="0046190E" w:rsidRDefault="0046190E" w:rsidP="0046190E">
      <w:pPr>
        <w:pStyle w:val="H3"/>
        <w:spacing w:before="0"/>
        <w:rPr>
          <w:caps w:val="0"/>
          <w:noProof w:val="0"/>
          <w:color w:val="483733" w:themeColor="text2"/>
        </w:rPr>
      </w:pPr>
      <w:r>
        <w:rPr>
          <w:caps w:val="0"/>
          <w:color w:val="483733" w:themeColor="text2"/>
        </w:rPr>
        <w:t>Bankruptcy Court Allows Debtors to Replead Usury Allegations Against Foreclosing Lender Under Florida Law</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2025-11-04</w:t>
      </w:r>
    </w:p>
    <w:p w14:paraId="38DC0FB2" w14:textId="77777777" w:rsidR="0046190E" w:rsidRDefault="0046190E" w:rsidP="0046190E">
      <w:pPr>
        <w:pStyle w:val="H3"/>
        <w:spacing w:before="0"/>
        <w:rPr>
          <w:caps w:val="0"/>
          <w:noProof w:val="0"/>
          <w:color w:val="483733" w:themeColor="text2"/>
        </w:rPr>
      </w:pPr>
      <w:r>
        <w:rPr>
          <w:caps w:val="0"/>
          <w:color w:val="483733" w:themeColor="text2"/>
        </w:rPr>
        <w:t>New York Commercial Division Rejects Claims Against Participating Noteholders in Uptiering Transaction</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2025-11-20</w:t>
      </w:r>
    </w:p>
    <w:p w14:paraId="4BD15F45" w14:textId="77777777" w:rsidR="009816A0" w:rsidRDefault="009816A0" w:rsidP="009816A0">
      <w:pPr>
        <w:pStyle w:val="H3"/>
        <w:spacing w:before="0"/>
        <w:rPr>
          <w:caps w:val="0"/>
          <w:noProof w:val="0"/>
          <w:color w:val="483733" w:themeColor="text2"/>
        </w:rPr>
      </w:pPr>
      <w:r>
        <w:rPr>
          <w:caps w:val="0"/>
          <w:color w:val="483733" w:themeColor="text2"/>
        </w:rPr>
        <w:t>Thad Wilson to Speak at the Financial Poise’s upcoming webinar</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2025-10-23</w:t>
      </w:r>
    </w:p>
    <w:p w14:paraId="4BD15F45" w14:textId="77777777" w:rsidR="009816A0" w:rsidRDefault="009816A0" w:rsidP="009816A0">
      <w:pPr>
        <w:pStyle w:val="H3"/>
        <w:spacing w:before="0"/>
        <w:rPr>
          <w:caps w:val="0"/>
          <w:noProof w:val="0"/>
          <w:color w:val="483733" w:themeColor="text2"/>
        </w:rPr>
      </w:pPr>
      <w:r>
        <w:rPr>
          <w:caps w:val="0"/>
          <w:color w:val="483733" w:themeColor="text2"/>
        </w:rPr>
        <w:t>Thad Wilson to Speak at Financial Poise’s upcoming webinar</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2025-09-18</w:t>
      </w:r>
    </w:p>
    <w:p w14:paraId="4BD15F45" w14:textId="77777777" w:rsidR="009816A0" w:rsidRDefault="009816A0" w:rsidP="009816A0">
      <w:pPr>
        <w:pStyle w:val="H3"/>
        <w:spacing w:before="0"/>
        <w:rPr>
          <w:caps w:val="0"/>
          <w:noProof w:val="0"/>
          <w:color w:val="483733" w:themeColor="text2"/>
        </w:rPr>
      </w:pPr>
      <w:r>
        <w:rPr>
          <w:caps w:val="0"/>
          <w:color w:val="483733" w:themeColor="text2"/>
        </w:rPr>
        <w:t>Michael Handler to Speak at the ABA Business Bankruptcy Committee’s Lunch &amp; Education Program</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2025-12-01</w:t>
      </w:r>
    </w:p>
    <w:p w14:paraId="5700260F" w14:textId="77777777" w:rsidR="00F21DCE" w:rsidRDefault="00F21DCE" w:rsidP="00F21DCE">
      <w:pPr>
        <w:pStyle w:val="H3"/>
        <w:spacing w:before="0"/>
        <w:rPr>
          <w:caps w:val="0"/>
          <w:noProof w:val="0"/>
          <w:color w:val="483733" w:themeColor="text2"/>
        </w:rPr>
      </w:pPr>
      <w:r>
        <w:rPr>
          <w:caps w:val="0"/>
          <w:color w:val="483733" w:themeColor="text2"/>
        </w:rPr>
        <w:t>Thad Wilson and Jordan Leu’s presentation at NAVCA’s recent 2025 Business Valuation &amp; Financial Litigation Super Conference is highlighted</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2025-11-24</w:t>
      </w:r>
    </w:p>
    <w:p w14:paraId="5700260F" w14:textId="77777777" w:rsidR="00F21DCE" w:rsidRDefault="00F21DCE" w:rsidP="00F21DCE">
      <w:pPr>
        <w:pStyle w:val="H3"/>
        <w:spacing w:before="0"/>
        <w:rPr>
          <w:caps w:val="0"/>
          <w:noProof w:val="0"/>
          <w:color w:val="483733" w:themeColor="text2"/>
        </w:rPr>
      </w:pPr>
      <w:r>
        <w:rPr>
          <w:caps w:val="0"/>
          <w:color w:val="483733" w:themeColor="text2"/>
        </w:rPr>
        <w:t>Jordan Leu explains why when a company faces distress, it must focus on decisions that maximize the value of the overall enterprise</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2025-10-15</w:t>
      </w:r>
    </w:p>
    <w:p w14:paraId="5700260F" w14:textId="77777777" w:rsidR="00F21DCE" w:rsidRDefault="00F21DCE" w:rsidP="00F21DCE">
      <w:pPr>
        <w:pStyle w:val="H3"/>
        <w:spacing w:before="0"/>
        <w:rPr>
          <w:caps w:val="0"/>
          <w:noProof w:val="0"/>
          <w:color w:val="483733" w:themeColor="text2"/>
        </w:rPr>
      </w:pPr>
      <w:r>
        <w:rPr>
          <w:caps w:val="0"/>
          <w:color w:val="483733" w:themeColor="text2"/>
        </w:rPr>
        <w:t>Scott Davidson represents GM in a data privacy suit brought by the state of Texas</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38" TargetMode="External" Id="rId13"/><Relationship Type="http://schemas.openxmlformats.org/officeDocument/2006/relationships/hyperlink" Target="https://www.kslaw.com/news-and-insights?capability_id=38&amp;post_category_id=1&amp;post_type=0" TargetMode="External" Id="rId14"/><Relationship Type="http://schemas.openxmlformats.org/officeDocument/2006/relationships/hyperlink" Target="https://www.kslaw.com/news-and-insights?capability_id=38&amp;post_type=2" TargetMode="External" Id="rId15"/><Relationship Type="http://schemas.openxmlformats.org/officeDocument/2006/relationships/hyperlink" Target="https://www.kslaw.com/news-and-insights?capability_id=38&amp;post_type=1" TargetMode="External" Id="rId16"/><Relationship Type="http://schemas.openxmlformats.org/officeDocument/2006/relationships/hyperlink" Target="https://www.kslaw.com/news-and-insights?capability_id=38&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