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Artificial Intelligence (AI) and Machine Learning</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Businesses adopting artificial intelligence and machine learning technologies and the companies developing them turn to us to navigate regulatory complexities, potential liabilities, and transactional considerations they face on the path to realizing AI’s tremendous potential.</w:t>
      </w:r>
    </w:p>
    <w:p>
      <w:pPr>
        <w:pStyle w:val="Paragraph"/>
      </w:pPr>
      <w:r>
        <w:t xml:space="preserve">We bring together our extensive technical backgrounds and broad range of subject matter experience to help them:</w:t>
      </w:r>
    </w:p>
    <w:p>
      <w:pPr>
        <w:pStyle w:val="ListBullet"/>
        <w:numPr>
          <w:ilvl w:val="0"/>
          <w:numId w:val="21"/>
        </w:numPr>
      </w:pPr>
      <w:r>
        <w:t xml:space="preserve">•  identify potential risks through data protection impact assessments;</w:t>
      </w:r>
    </w:p>
    <w:p>
      <w:pPr>
        <w:pStyle w:val="ListBullet"/>
        <w:numPr>
          <w:ilvl w:val="0"/>
          <w:numId w:val="21"/>
        </w:numPr>
      </w:pPr>
      <w:r>
        <w:t xml:space="preserve">•  navigate whether AI's role is categorized as a medical device by the FDA;</w:t>
      </w:r>
    </w:p>
    <w:p>
      <w:pPr>
        <w:pStyle w:val="ListBullet"/>
        <w:numPr>
          <w:ilvl w:val="0"/>
          <w:numId w:val="21"/>
        </w:numPr>
      </w:pPr>
      <w:r>
        <w:t xml:space="preserve">•  maneuver through ambiguous FDA guidelines related to AI in drug development;</w:t>
      </w:r>
    </w:p>
    <w:p>
      <w:pPr>
        <w:pStyle w:val="ListBullet"/>
        <w:numPr>
          <w:ilvl w:val="0"/>
          <w:numId w:val="21"/>
        </w:numPr>
      </w:pPr>
      <w:r>
        <w:t xml:space="preserve">•  counsel on the murky landscape of copyright law in connection with generative AI;</w:t>
      </w:r>
    </w:p>
    <w:p>
      <w:pPr>
        <w:pStyle w:val="ListBullet"/>
        <w:numPr>
          <w:ilvl w:val="0"/>
          <w:numId w:val="21"/>
        </w:numPr>
      </w:pPr>
      <w:r>
        <w:t xml:space="preserve">•  comply with digital communication laws regarding the use of AI systems in content moderation and advertising;</w:t>
      </w:r>
    </w:p>
    <w:p>
      <w:pPr>
        <w:pStyle w:val="ListBullet"/>
        <w:numPr>
          <w:ilvl w:val="0"/>
          <w:numId w:val="21"/>
        </w:numPr>
      </w:pPr>
      <w:r>
        <w:t xml:space="preserve">•  ensure the use of AI systems is done in an ethical and responsible fashion;</w:t>
      </w:r>
    </w:p>
    <w:p>
      <w:pPr>
        <w:pStyle w:val="ListBullet"/>
        <w:numPr>
          <w:ilvl w:val="0"/>
          <w:numId w:val="21"/>
        </w:numPr>
      </w:pPr>
      <w:r>
        <w:t xml:space="preserve">•  mitigate risks from contractual, e-discovery, product liability, regulatory, and tort-based claims; and</w:t>
      </w:r>
    </w:p>
    <w:p>
      <w:pPr>
        <w:pStyle w:val="ListBullet"/>
        <w:numPr>
          <w:ilvl w:val="0"/>
          <w:numId w:val="21"/>
        </w:numPr>
      </w:pPr>
      <w:r>
        <w:t xml:space="preserve">•  complement their businesses and expand into new markets through investments in and acquisitions of sophisticated AI platforms.</w:t>
      </w:r>
    </w:p>
    <w:p>
      <w:pPr>
        <w:pStyle w:val="Paragraph"/>
      </w:pPr>
      <w:r>
        <w:t xml:space="preserve">From major corporations to emerging growth companies and their investors, we provide this guidance across the full range of AI/ML technologies including:</w:t>
      </w:r>
    </w:p>
    <w:p>
      <w:pPr>
        <w:pStyle w:val="ListBullet"/>
        <w:numPr>
          <w:ilvl w:val="0"/>
          <w:numId w:val="22"/>
        </w:numPr>
      </w:pPr>
      <w:r>
        <w:t xml:space="preserve">•  fraud detection and digital identity;</w:t>
      </w:r>
    </w:p>
    <w:p>
      <w:pPr>
        <w:pStyle w:val="ListBullet"/>
        <w:numPr>
          <w:ilvl w:val="0"/>
          <w:numId w:val="22"/>
        </w:numPr>
      </w:pPr>
      <w:r>
        <w:t xml:space="preserve">•  digital health and personalized medicine;</w:t>
      </w:r>
    </w:p>
    <w:p>
      <w:pPr>
        <w:pStyle w:val="ListBullet"/>
        <w:numPr>
          <w:ilvl w:val="0"/>
          <w:numId w:val="22"/>
        </w:numPr>
      </w:pPr>
      <w:r>
        <w:t xml:space="preserve">•  chatbots;</w:t>
      </w:r>
    </w:p>
    <w:p>
      <w:pPr>
        <w:pStyle w:val="ListBullet"/>
        <w:numPr>
          <w:ilvl w:val="0"/>
          <w:numId w:val="22"/>
        </w:numPr>
      </w:pPr>
      <w:r>
        <w:t xml:space="preserve">•  e-commerce and marketplace platforms;</w:t>
      </w:r>
    </w:p>
    <w:p>
      <w:pPr>
        <w:pStyle w:val="ListBullet"/>
        <w:numPr>
          <w:ilvl w:val="0"/>
          <w:numId w:val="22"/>
        </w:numPr>
      </w:pPr>
      <w:r>
        <w:t xml:space="preserve">•  facial/biometric data recognition;</w:t>
      </w:r>
    </w:p>
    <w:p>
      <w:pPr>
        <w:pStyle w:val="ListBullet"/>
        <w:numPr>
          <w:ilvl w:val="0"/>
          <w:numId w:val="22"/>
        </w:numPr>
      </w:pPr>
      <w:r>
        <w:t xml:space="preserve">•  intelligent robotics;</w:t>
      </w:r>
    </w:p>
    <w:p>
      <w:pPr>
        <w:pStyle w:val="ListBullet"/>
        <w:numPr>
          <w:ilvl w:val="0"/>
          <w:numId w:val="22"/>
        </w:numPr>
      </w:pPr>
      <w:r>
        <w:t xml:space="preserve">•  autonomous vehicles;</w:t>
      </w:r>
    </w:p>
    <w:p>
      <w:pPr>
        <w:pStyle w:val="ListBullet"/>
        <w:numPr>
          <w:ilvl w:val="0"/>
          <w:numId w:val="22"/>
        </w:numPr>
      </w:pPr>
      <w:r>
        <w:t xml:space="preserve">•  data set licensing; and more.</w:t>
      </w:r>
    </w:p>
    <w:p>
      <w:pPr>
        <w:pStyle w:val="Paragraph"/>
      </w:pPr>
      <w:r>
        <w:t xml:space="preserve">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Carolyn Zander Alford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M. Anderson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Lisa M. Dwyer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Amanda J. Klingler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Phyllis B. Sumner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Ronni D. Solomon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MANTECH, a Carlyle portfolio company, Acquires Elder Research</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2025-12-09</w:t>
      </w:r>
    </w:p>
    <w:p w14:paraId="636140DC" w14:textId="77777777" w:rsidR="001C65B2" w:rsidRDefault="001C65B2" w:rsidP="001C65B2">
      <w:pPr>
        <w:pStyle w:val="H3"/>
        <w:spacing w:before="0"/>
        <w:rPr>
          <w:caps w:val="0"/>
          <w:noProof w:val="0"/>
          <w:color w:val="483733" w:themeColor="text2"/>
        </w:rPr>
      </w:pPr>
      <w:r>
        <w:rPr>
          <w:caps w:val="0"/>
          <w:color w:val="483733" w:themeColor="text2"/>
        </w:rPr>
        <w:t>Argo Infrastructure Increases Capital Commitment to Tierpoint</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French Sidetrade SA to Acquire German SHS Viveon AG</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EU &amp; UK AI Round-up - December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2025-11-14</w:t>
      </w:r>
    </w:p>
    <w:p w14:paraId="38DC0FB2" w14:textId="77777777" w:rsidR="0046190E" w:rsidRDefault="0046190E" w:rsidP="0046190E">
      <w:pPr>
        <w:pStyle w:val="H3"/>
        <w:spacing w:before="0"/>
        <w:rPr>
          <w:caps w:val="0"/>
          <w:noProof w:val="0"/>
          <w:color w:val="483733" w:themeColor="text2"/>
        </w:rPr>
      </w:pPr>
      <w:r>
        <w:rPr>
          <w:caps w:val="0"/>
          <w:color w:val="483733" w:themeColor="text2"/>
        </w:rPr>
        <w:t>Enthusiasm Is Legal Leadership Differentiator In AI Era</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2025-11-06</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dot-com boom ignored women: The AI era can be different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2025-11-13</w:t>
      </w:r>
    </w:p>
    <w:p w14:paraId="4BD15F45" w14:textId="77777777" w:rsidR="009816A0" w:rsidRDefault="009816A0" w:rsidP="009816A0">
      <w:pPr>
        <w:pStyle w:val="H3"/>
        <w:spacing w:before="0"/>
        <w:rPr>
          <w:caps w:val="0"/>
          <w:noProof w:val="0"/>
          <w:color w:val="483733" w:themeColor="text2"/>
        </w:rPr>
      </w:pPr>
      <w:r>
        <w:rPr>
          <w:caps w:val="0"/>
          <w:color w:val="483733" w:themeColor="text2"/>
        </w:rPr>
        <w:t>J. C. Boggs to Speak at the 30th Parliamentary Intelligence-Security Forum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2025-10-15</w:t>
      </w:r>
    </w:p>
    <w:p w14:paraId="4BD15F45" w14:textId="77777777" w:rsidR="009816A0" w:rsidRDefault="009816A0" w:rsidP="009816A0">
      <w:pPr>
        <w:pStyle w:val="H3"/>
        <w:spacing w:before="0"/>
        <w:rPr>
          <w:caps w:val="0"/>
          <w:noProof w:val="0"/>
          <w:color w:val="483733" w:themeColor="text2"/>
        </w:rPr>
      </w:pPr>
      <w:r>
        <w:rPr>
          <w:caps w:val="0"/>
          <w:color w:val="483733" w:themeColor="text2"/>
        </w:rPr>
        <w:t>Health Law &amp; Policy Forum West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2025-09-30</w:t>
      </w:r>
    </w:p>
    <w:p w14:paraId="4BD15F45" w14:textId="77777777" w:rsidR="009816A0" w:rsidRDefault="009816A0" w:rsidP="009816A0">
      <w:pPr>
        <w:pStyle w:val="H3"/>
        <w:spacing w:before="0"/>
        <w:rPr>
          <w:caps w:val="0"/>
          <w:noProof w:val="0"/>
          <w:color w:val="483733" w:themeColor="text2"/>
        </w:rPr>
      </w:pPr>
      <w:r>
        <w:rPr>
          <w:caps w:val="0"/>
          <w:color w:val="483733" w:themeColor="text2"/>
        </w:rPr>
        <w:t>12th Annual Cybersecurity &amp; Privacy Summit</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2025-09-24</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Ahlering discusses California’s landmark “No Robo Bosses” Act, a comprehensive regulation on artificial intelligence in the workplace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2025-09-12</w:t>
      </w:r>
    </w:p>
    <w:p w14:paraId="5700260F" w14:textId="77777777" w:rsidR="00F21DCE" w:rsidRDefault="00F21DCE" w:rsidP="00F21DCE">
      <w:pPr>
        <w:pStyle w:val="H3"/>
        <w:spacing w:before="0"/>
        <w:rPr>
          <w:caps w:val="0"/>
          <w:noProof w:val="0"/>
          <w:color w:val="483733" w:themeColor="text2"/>
        </w:rPr>
      </w:pPr>
      <w:r>
        <w:rPr>
          <w:caps w:val="0"/>
          <w:color w:val="483733" w:themeColor="text2"/>
        </w:rPr>
        <w:t>Dan Kahan, Tom Knox, Eric Nyman, Sophia Luckeneder and Alexander Bach Tran counsel Virtru, a Washington, D.C.-based data security company, on its $50M Series D financing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2025-09-11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Ahlering provides advice for employers looking to get ahead of future AI regulations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33" TargetMode="External" Id="rId13"/><Relationship Type="http://schemas.openxmlformats.org/officeDocument/2006/relationships/hyperlink" Target="https://www.kslaw.com/news-and-insights?capability_id=133&amp;post_category_id=1&amp;post_type=0" TargetMode="External" Id="rId14"/><Relationship Type="http://schemas.openxmlformats.org/officeDocument/2006/relationships/hyperlink" Target="https://www.kslaw.com/news-and-insights?capability_id=133&amp;post_type=2" TargetMode="External" Id="rId15"/><Relationship Type="http://schemas.openxmlformats.org/officeDocument/2006/relationships/hyperlink" Target="https://www.kslaw.com/news-and-insights?capability_id=133&amp;post_type=1" TargetMode="External" Id="rId16"/><Relationship Type="http://schemas.openxmlformats.org/officeDocument/2006/relationships/hyperlink" Target="https://www.kslaw.com/news-and-insights?capability_id=133&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