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Antitrust</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Spalding’s antitrust lawyers provide sophisticated, solution-oriented advice to clients in a wide variety of industries on all aspects of U.S. and international competition law, including mergers and acquisitions, joint ventures and other strategic alliances, government civil and criminal investigations, private antitrust litigation and counseling.  Clients rely on our antitrust lawyers for constructive counseling and guidance on legitimate arrangements between competitors, entry into new markets, product distribution systems and appropriate participation by clients at trade associations and standard-setting organizations, as well as to steer them through complex civil, criminal, and merger investigations and litigation. The key to our antitrust success is consistent, comprehensive and responsive counsel to our clients.</w:t>
      </w:r>
    </w:p>
    <w:p>
      <w:pPr>
        <w:pStyle w:val="Paragraph"/>
      </w:pPr>
      <w:r>
        <w:t xml:space="preserve">Our antitrust lawyers include several who have served in significant positions within U.S. antitrust enforcement agencies, including the former Deputy Bureau Director of the Federal Trade Commission, former Deputy Assistant Attorney General for Criminal Enforcement at the Antitrust Division of the Department of Justice, and a number of other DOJ and FTC veterans. We regularly appear before these and other key competition authorities, including state attorneys general.</w:t>
      </w:r>
    </w:p>
    <w:p>
      <w:pPr>
        <w:pStyle w:val="Paragraph"/>
      </w:pPr>
      <w:r>
        <w:t xml:space="preserve">Our lawyers also have substantial experience coordinating efforts to gain approval of transactions from the EU and other non-U.S. antitrust authorities, including guiding clients through Phase II merger investigations, responding to Article 11 letters and advising clients on issues of jurisdiction and disclosure of information from abroad.</w:t>
      </w:r>
    </w:p>
    <w:p>
      <w:pPr>
        <w:pStyle w:val="Paragraph"/>
      </w:pPr>
      <w:r>
        <w:t xml:space="preserve">Our lawyers are also active in the Antitrust Section of the American Bar Association and the Antitrust Practice Group of the American Health Lawyers Association, where our lawyers hold or have held numerous leadership positions, including Co-Chair of the Mergers and Acquisitions Committee, Chair of the Criminal Practice and Procedure Committee, and Vice-Chair of the Cartel and Criminal Practice Committee.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Olivier N. Antoine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Dr. Salomé Cisnal de Ugarte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Brussels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Robert M. Cooper (Bob)</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Veronica Moyé</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Dallas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 Sean Royall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Dallas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Jeffrey S. Spigel (Jeff)</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Best Law Firm of the Year</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American Lawyer Industry Awards,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in Antitrust – Georgia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in Antitrust – Texas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2025-06-24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Is Representing ABG in Its $125 Million Acquisition of AluChem</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2025-01-02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Obtains Dismissal of a Proposed Class Action Alleging Equifax Violated Antitrust by Excluding Medical Debt Under $500 from Consumer Credit Reports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2024-08-02</w:t>
      </w:r>
    </w:p>
    <w:p w14:paraId="636140DC" w14:textId="77777777" w:rsidR="001C65B2" w:rsidRDefault="001C65B2" w:rsidP="001C65B2">
      <w:pPr>
        <w:pStyle w:val="H3"/>
        <w:spacing w:before="0"/>
        <w:rPr>
          <w:caps w:val="0"/>
          <w:noProof w:val="0"/>
          <w:color w:val="483733" w:themeColor="text2"/>
        </w:rPr>
      </w:pPr>
      <w:r>
        <w:rPr>
          <w:caps w:val="0"/>
          <w:color w:val="483733" w:themeColor="text2"/>
        </w:rPr>
        <w:t>Lehigh Valley Health Network and Jefferson Combine Effective August 1, 2024</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2025-11-17</w:t>
      </w:r>
    </w:p>
    <w:p w14:paraId="38DC0FB2" w14:textId="77777777" w:rsidR="0046190E" w:rsidRDefault="0046190E" w:rsidP="0046190E">
      <w:pPr>
        <w:pStyle w:val="H3"/>
        <w:spacing w:before="0"/>
        <w:rPr>
          <w:caps w:val="0"/>
          <w:noProof w:val="0"/>
          <w:color w:val="483733" w:themeColor="text2"/>
        </w:rPr>
      </w:pPr>
      <w:r>
        <w:rPr>
          <w:caps w:val="0"/>
          <w:color w:val="483733" w:themeColor="text2"/>
        </w:rPr>
        <w:t>A New Era in Antitrust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2025-10-20</w:t>
      </w:r>
    </w:p>
    <w:p w14:paraId="38DC0FB2" w14:textId="77777777" w:rsidR="0046190E" w:rsidRDefault="0046190E" w:rsidP="0046190E">
      <w:pPr>
        <w:pStyle w:val="H3"/>
        <w:spacing w:before="0"/>
        <w:rPr>
          <w:caps w:val="0"/>
          <w:noProof w:val="0"/>
          <w:color w:val="483733" w:themeColor="text2"/>
        </w:rPr>
      </w:pPr>
      <w:r>
        <w:rPr>
          <w:caps w:val="0"/>
          <w:color w:val="483733" w:themeColor="text2"/>
        </w:rPr>
        <w:t>Antitrust Agencies Target Over 125 Federal Regulations for Potential Rollback</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2025-09-18</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Latest in Georgia Antitrust Litigation, Including Multi-District Litigation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2025-06-18</w:t>
      </w:r>
    </w:p>
    <w:p w14:paraId="4BD15F45" w14:textId="77777777" w:rsidR="009816A0" w:rsidRDefault="009816A0" w:rsidP="009816A0">
      <w:pPr>
        <w:pStyle w:val="H3"/>
        <w:spacing w:before="0"/>
        <w:rPr>
          <w:caps w:val="0"/>
          <w:noProof w:val="0"/>
          <w:color w:val="483733" w:themeColor="text2"/>
        </w:rPr>
      </w:pPr>
      <w:r>
        <w:rPr>
          <w:caps w:val="0"/>
          <w:color w:val="483733" w:themeColor="text2"/>
        </w:rPr>
        <w:t>Salomé Cisnal de Ugarte to Speak at European University Institute (EUI) Seminar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2025-03-20</w:t>
      </w:r>
    </w:p>
    <w:p w14:paraId="4BD15F45" w14:textId="77777777" w:rsidR="009816A0" w:rsidRDefault="009816A0" w:rsidP="009816A0">
      <w:pPr>
        <w:pStyle w:val="H3"/>
        <w:spacing w:before="0"/>
        <w:rPr>
          <w:caps w:val="0"/>
          <w:noProof w:val="0"/>
          <w:color w:val="483733" w:themeColor="text2"/>
        </w:rPr>
      </w:pPr>
      <w:r>
        <w:rPr>
          <w:caps w:val="0"/>
          <w:color w:val="483733" w:themeColor="text2"/>
        </w:rPr>
        <w:t>Salome Cisnal de Ugarte to Speak at Brussels’ Competition Law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2025-03-12</w:t>
      </w:r>
    </w:p>
    <w:p w14:paraId="4BD15F45" w14:textId="77777777" w:rsidR="009816A0" w:rsidRDefault="009816A0" w:rsidP="009816A0">
      <w:pPr>
        <w:pStyle w:val="H3"/>
        <w:spacing w:before="0"/>
        <w:rPr>
          <w:caps w:val="0"/>
          <w:noProof w:val="0"/>
          <w:color w:val="483733" w:themeColor="text2"/>
        </w:rPr>
      </w:pPr>
      <w:r>
        <w:rPr>
          <w:caps w:val="0"/>
          <w:color w:val="483733" w:themeColor="text2"/>
        </w:rPr>
        <w:t>Lohr Beck to Speak at a panel discussion on Antitrust Updates</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Again Recognized on Global Competition Review’s GCR 100 List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Antitrust Partner John Carroll Returns to King &amp; Spalding in Washington, D.C.</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Partner John Carroll rejoins the firm’s Antitrust practice in Washington, D.C.</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 TargetMode="External" Id="rId13"/><Relationship Type="http://schemas.openxmlformats.org/officeDocument/2006/relationships/hyperlink" Target="https://www.kslaw.com/news-and-insights?capability_id=1&amp;post_category_id=1&amp;post_type=0" TargetMode="External" Id="rId14"/><Relationship Type="http://schemas.openxmlformats.org/officeDocument/2006/relationships/hyperlink" Target="https://www.kslaw.com/news-and-insights?capability_id=1&amp;post_type=2" TargetMode="External" Id="rId15"/><Relationship Type="http://schemas.openxmlformats.org/officeDocument/2006/relationships/hyperlink" Target="https://www.kslaw.com/news-and-insights?capability_id=1&amp;post_type=1" TargetMode="External" Id="rId16"/><Relationship Type="http://schemas.openxmlformats.org/officeDocument/2006/relationships/hyperlink" Target="https://www.kslaw.com/news-and-insights?capability_id=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