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Activist Defense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The activist and shareholder landscapes have undergone dramatic changes in recent years. Activists have launched campaigns against companies of all sizes, institutional investors are more willing to cooperate with activists, and historic takeover defenses have declined in effectiveness. Against this challenging backdrop, King &amp; Spalding has developed an innovative and highly sophisticated approach to monitoring, anticipating and preparing for activist and event-driven hedge fund activity, enabling companies and boards to respond from a position of strength while they seek to protect and enhance long-term shareholder value.</w:t>
      </w:r>
    </w:p>
    <w:p>
      <w:pPr>
        <w:pStyle w:val="Paragraph"/>
      </w:pPr>
      <w:r>
        <w:t xml:space="preserve">Our work spans the spectrum of activist defense: ranging from vulnerability and corporate government analyses and updates; to shareholder reviews and engagement guidance, drawing on our own relationships with institutional and hedge fund investors; to ongoing stock and event monitoring; to boardroom-level counsel in proxy campaigns and strategic transactions.</w:t>
      </w:r>
    </w:p>
    <w:p>
      <w:pPr>
        <w:pStyle w:val="Paragraph"/>
      </w:pPr>
      <w:r>
        <w:t xml:space="preserve">Anchored by our Corporate Monitoring and Preparedness Program, our practice includes a team of in-house financial analysts drawn from top-tier investment banks, who track and synthesize data across multiple proprietary resources to identify activist activity and trends.    </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Robert J. Leclerc (Rob)</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William C. Smith III (Cal)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Keith M. Townsend</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John M. Anderson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as a top 5 law firm for corporate governance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Directors &amp; Board Magazine</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A top 20 US law firm advising on corporate governance matters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Corporate Board Member Magazine</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Newsletter</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2016-11-21</w:t>
      </w:r>
    </w:p>
    <w:p w14:paraId="38DC0FB2" w14:textId="77777777" w:rsidR="0046190E" w:rsidRDefault="0046190E" w:rsidP="0046190E">
      <w:pPr>
        <w:pStyle w:val="H3"/>
        <w:spacing w:before="0"/>
        <w:rPr>
          <w:caps w:val="0"/>
          <w:noProof w:val="0"/>
          <w:color w:val="483733" w:themeColor="text2"/>
        </w:rPr>
      </w:pPr>
      <w:r>
        <w:rPr>
          <w:caps w:val="0"/>
          <w:color w:val="483733" w:themeColor="text2"/>
        </w:rPr>
        <w:t>Viewpoints - Issue 27 - Incorporating share buybacks in board-driven strategy</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Newsletter</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2016-02-29</w:t>
      </w:r>
    </w:p>
    <w:p w14:paraId="38DC0FB2" w14:textId="77777777" w:rsidR="0046190E" w:rsidRDefault="0046190E" w:rsidP="0046190E">
      <w:pPr>
        <w:pStyle w:val="H3"/>
        <w:spacing w:before="0"/>
        <w:rPr>
          <w:caps w:val="0"/>
          <w:noProof w:val="0"/>
          <w:color w:val="483733" w:themeColor="text2"/>
        </w:rPr>
      </w:pPr>
      <w:r>
        <w:rPr>
          <w:caps w:val="0"/>
          <w:color w:val="483733" w:themeColor="text2"/>
        </w:rPr>
        <w:t>Viewpoints - Issue 25 - Dialogue with Glenn Booraem of Vanguard</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2024-12-23</w:t>
      </w:r>
    </w:p>
    <w:p w14:paraId="5700260F" w14:textId="77777777" w:rsidR="00F21DCE" w:rsidRDefault="00F21DCE" w:rsidP="00F21DCE">
      <w:pPr>
        <w:pStyle w:val="H3"/>
        <w:spacing w:before="0"/>
        <w:rPr>
          <w:caps w:val="0"/>
          <w:noProof w:val="0"/>
          <w:color w:val="483733" w:themeColor="text2"/>
        </w:rPr>
      </w:pPr>
      <w:r>
        <w:rPr>
          <w:caps w:val="0"/>
          <w:color w:val="483733" w:themeColor="text2"/>
        </w:rPr>
        <w:t>Tim FitzSimons explains why an activist would launch its campaign with ample time before the director nomination deadline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2024-08-12</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Expands Corporate Presence in California with Addition of Silicon Valley Deal Lawyer Joseph Halloum</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2024-08-12</w:t>
      </w:r>
    </w:p>
    <w:p w14:paraId="5700260F" w14:textId="77777777" w:rsidR="00F21DCE" w:rsidRDefault="00F21DCE" w:rsidP="00F21DCE">
      <w:pPr>
        <w:pStyle w:val="H3"/>
        <w:spacing w:before="0"/>
        <w:rPr>
          <w:caps w:val="0"/>
          <w:noProof w:val="0"/>
          <w:color w:val="483733" w:themeColor="text2"/>
        </w:rPr>
      </w:pPr>
      <w:r>
        <w:rPr>
          <w:caps w:val="0"/>
          <w:color w:val="483733" w:themeColor="text2"/>
        </w:rPr>
        <w:t>M&amp;A partner Joseph Halloum joins the firm’s Corporate practice group and Technology industry team in Silicon Valley</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72" TargetMode="External" Id="rId13"/><Relationship Type="http://schemas.openxmlformats.org/officeDocument/2006/relationships/hyperlink" Target="https://www.kslaw.com/news-and-insights?capability_id=72&amp;post_type=2" TargetMode="External" Id="rId14"/><Relationship Type="http://schemas.openxmlformats.org/officeDocument/2006/relationships/hyperlink" Target="https://www.kslaw.com/news-and-insights?capability_id=72&amp;post_type=0" TargetMode="External" Id="rId15"/></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