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Financial Services</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Clients of all sizes spanning the financial services industry rely on King &amp; Spalding for sophisticated advice on their critical finance transactions and the complex disputes and regulatory issues that arise in relation to them. Our clients range from the largest global banks to leading regional banks to fintech startups and include a wide range of asset managers, broker dealers, private equity firms, non-bank finance companies, payment processors, and alternative capital providers. These clients turn to our multi-disciplinary team of nearly 500 lawyers worldwide to guide them through secured and unsecured lending, capital markets, specialty finance, securitization and other types of transactions, as well as commercial litigation and arbitration, securities and shareholder suits, multijurisdictional investigations and enforcement actions.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Carolyn Zander Alford</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Matthew L. Biben (Matt)</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Andrew Brereton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Singapore</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Craig Carpenito</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Jamie Dycus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Carmen Lawrence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among the leading firms for Financial Services Litigation</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USA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Tier 1 - Financial Services Regulation: Broker-Dealers Nationwide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USA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among the leading firms for Banking &amp; Finance Nationwide, and in Georgia, Illinois, New York, North Carolina</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2026-05-05</w:t>
      </w:r>
    </w:p>
    <w:p w14:paraId="636140DC" w14:textId="77777777" w:rsidR="001C65B2" w:rsidRDefault="001C65B2" w:rsidP="001C65B2">
      <w:pPr>
        <w:pStyle w:val="H3"/>
        <w:spacing w:before="0"/>
        <w:rPr>
          <w:caps w:val="0"/>
          <w:noProof w:val="0"/>
          <w:color w:val="483733" w:themeColor="text2"/>
        </w:rPr>
      </w:pPr>
      <w:r>
        <w:rPr>
          <w:caps w:val="0"/>
          <w:color w:val="483733" w:themeColor="text2"/>
        </w:rPr>
        <w:t>Guggenheim Leads CloudHQ’s Landmark $1.4 Billion ABS Issuance</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2026-04-02</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Advised Initial Purchasers on Helios Towers’s $500 million Senior Notes Offering</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2025-11-06</w:t>
      </w:r>
    </w:p>
    <w:p w14:paraId="636140DC" w14:textId="77777777" w:rsidR="001C65B2" w:rsidRDefault="001C65B2" w:rsidP="001C65B2">
      <w:pPr>
        <w:pStyle w:val="H3"/>
        <w:spacing w:before="0"/>
        <w:rPr>
          <w:caps w:val="0"/>
          <w:noProof w:val="0"/>
          <w:color w:val="483733" w:themeColor="text2"/>
        </w:rPr>
      </w:pPr>
      <w:r>
        <w:rPr>
          <w:caps w:val="0"/>
          <w:color w:val="483733" w:themeColor="text2"/>
        </w:rPr>
        <w:t>Morgan Stanley Acquires $1 Billion Student Housing Portfolio</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2026-05-06</w:t>
      </w:r>
    </w:p>
    <w:p w14:paraId="38DC0FB2" w14:textId="77777777" w:rsidR="0046190E" w:rsidRDefault="0046190E" w:rsidP="0046190E">
      <w:pPr>
        <w:pStyle w:val="H3"/>
        <w:spacing w:before="0"/>
        <w:rPr>
          <w:caps w:val="0"/>
          <w:noProof w:val="0"/>
          <w:color w:val="483733" w:themeColor="text2"/>
        </w:rPr>
      </w:pPr>
      <w:r>
        <w:rPr>
          <w:caps w:val="0"/>
          <w:color w:val="483733" w:themeColor="text2"/>
        </w:rPr>
        <w:t>New Cuba Sanctions Present Increased Sanctions Risk For Foreign Financial Institutions and Foreign Persons Operating in Targeted Sectors of Cuba’s Economy</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Newsletter</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2026-04-29</w:t>
      </w:r>
    </w:p>
    <w:p w14:paraId="38DC0FB2" w14:textId="77777777" w:rsidR="0046190E" w:rsidRDefault="0046190E" w:rsidP="0046190E">
      <w:pPr>
        <w:pStyle w:val="H3"/>
        <w:spacing w:before="0"/>
        <w:rPr>
          <w:caps w:val="0"/>
          <w:noProof w:val="0"/>
          <w:color w:val="483733" w:themeColor="text2"/>
        </w:rPr>
      </w:pPr>
      <w:r>
        <w:rPr>
          <w:caps w:val="0"/>
          <w:color w:val="483733" w:themeColor="text2"/>
        </w:rPr>
        <w:t>Lender Liability Quarterly – April 2026</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2026-04-27</w:t>
      </w:r>
    </w:p>
    <w:p w14:paraId="38DC0FB2" w14:textId="77777777" w:rsidR="0046190E" w:rsidRDefault="0046190E" w:rsidP="0046190E">
      <w:pPr>
        <w:pStyle w:val="H3"/>
        <w:spacing w:before="0"/>
        <w:rPr>
          <w:caps w:val="0"/>
          <w:noProof w:val="0"/>
          <w:color w:val="483733" w:themeColor="text2"/>
        </w:rPr>
      </w:pPr>
      <w:r>
        <w:rPr>
          <w:caps w:val="0"/>
          <w:color w:val="483733" w:themeColor="text2"/>
        </w:rPr>
        <w:t>FINRA Adopts Sweeping Changes to Margin Requirements for Day Trading</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2026-04-16</w:t>
      </w:r>
    </w:p>
    <w:p w14:paraId="4BD15F45" w14:textId="77777777" w:rsidR="009816A0" w:rsidRDefault="009816A0" w:rsidP="009816A0">
      <w:pPr>
        <w:pStyle w:val="H3"/>
        <w:spacing w:before="0"/>
        <w:rPr>
          <w:caps w:val="0"/>
          <w:noProof w:val="0"/>
          <w:color w:val="483733" w:themeColor="text2"/>
        </w:rPr>
      </w:pPr>
      <w:r>
        <w:rPr>
          <w:caps w:val="0"/>
          <w:color w:val="483733" w:themeColor="text2"/>
        </w:rPr>
        <w:t>George Komnenos to Speak at American Bar Association’s Business Law Spring Meeting 2026</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2026-04-16</w:t>
      </w:r>
    </w:p>
    <w:p w14:paraId="4BD15F45" w14:textId="77777777" w:rsidR="009816A0" w:rsidRDefault="009816A0" w:rsidP="009816A0">
      <w:pPr>
        <w:pStyle w:val="H3"/>
        <w:spacing w:before="0"/>
        <w:rPr>
          <w:caps w:val="0"/>
          <w:noProof w:val="0"/>
          <w:color w:val="483733" w:themeColor="text2"/>
        </w:rPr>
      </w:pPr>
      <w:r>
        <w:rPr>
          <w:caps w:val="0"/>
          <w:color w:val="483733" w:themeColor="text2"/>
        </w:rPr>
        <w:t>Amy Peters and Maureen Sweeney to Speak at the DealCatalyst Private Credit Industry Conference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2026-04-16</w:t>
      </w:r>
    </w:p>
    <w:p w14:paraId="4BD15F45" w14:textId="77777777" w:rsidR="009816A0" w:rsidRDefault="009816A0" w:rsidP="009816A0">
      <w:pPr>
        <w:pStyle w:val="H3"/>
        <w:spacing w:before="0"/>
        <w:rPr>
          <w:caps w:val="0"/>
          <w:noProof w:val="0"/>
          <w:color w:val="483733" w:themeColor="text2"/>
        </w:rPr>
      </w:pPr>
      <w:r>
        <w:rPr>
          <w:caps w:val="0"/>
          <w:color w:val="483733" w:themeColor="text2"/>
        </w:rPr>
        <w:t>Abby Boxer to Speak at American Bar Association’s Business Law Spring Meeting 2026</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2026-06-04</w:t>
      </w:r>
    </w:p>
    <w:p w14:paraId="5700260F" w14:textId="77777777" w:rsidR="00F21DCE" w:rsidRDefault="00F21DCE" w:rsidP="00F21DCE">
      <w:pPr>
        <w:pStyle w:val="H3"/>
        <w:spacing w:before="0"/>
        <w:rPr>
          <w:caps w:val="0"/>
          <w:noProof w:val="0"/>
          <w:color w:val="483733" w:themeColor="text2"/>
        </w:rPr>
      </w:pPr>
      <w:r>
        <w:rPr>
          <w:caps w:val="0"/>
          <w:color w:val="483733" w:themeColor="text2"/>
        </w:rPr>
        <w:t>King &amp; Spalding Continues Strategic Investment in Fund Finance, Adding Partners Andrew Bettwy and Jin Joo in New York to Strengthen Market-Leading Global Platform</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2026-06-01</w:t>
      </w:r>
    </w:p>
    <w:p w14:paraId="5700260F" w14:textId="77777777" w:rsidR="00F21DCE" w:rsidRDefault="00F21DCE" w:rsidP="00F21DCE">
      <w:pPr>
        <w:pStyle w:val="H3"/>
        <w:spacing w:before="0"/>
        <w:rPr>
          <w:caps w:val="0"/>
          <w:noProof w:val="0"/>
          <w:color w:val="483733" w:themeColor="text2"/>
        </w:rPr>
      </w:pPr>
      <w:r>
        <w:rPr>
          <w:caps w:val="0"/>
          <w:color w:val="483733" w:themeColor="text2"/>
        </w:rPr>
        <w:t>Partner Jarel Rosser Joins King &amp; Spalding’s Finance and Restructuring Practice in New York</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2026-05-14</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K&amp;S's Client Alert is cited in coverage of President Trump’s Executive Order authorizing new targeted sanctions related to Cuba, including blocking sanctions, travel bans, and secondary sanctions on foreign financial institutions</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07" TargetMode="External" Id="rId13"/><Relationship Type="http://schemas.openxmlformats.org/officeDocument/2006/relationships/hyperlink" Target="https://www.kslaw.com/news-and-insights?capability_id=107&amp;post_category_id=1&amp;post_type=0" TargetMode="External" Id="rId14"/><Relationship Type="http://schemas.openxmlformats.org/officeDocument/2006/relationships/hyperlink" Target="https://www.kslaw.com/news-and-insights?capability_id=107&amp;post_type=2" TargetMode="External" Id="rId15"/><Relationship Type="http://schemas.openxmlformats.org/officeDocument/2006/relationships/hyperlink" Target="https://www.kslaw.com/news-and-insights?capability_id=107&amp;post_type=1" TargetMode="External" Id="rId16"/><Relationship Type="http://schemas.openxmlformats.org/officeDocument/2006/relationships/hyperlink" Target="https://www.kslaw.com/news-and-insights?capability_id=107&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